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481791" w14:paraId="0E07A9B8" w14:textId="77777777" w:rsidTr="0052150F">
        <w:trPr>
          <w:cantSplit/>
          <w:tblHeader/>
        </w:trPr>
        <w:tc>
          <w:tcPr>
            <w:tcW w:w="9628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04E6318D" w14:textId="668060B6" w:rsidR="004C40C7" w:rsidRPr="00332595" w:rsidRDefault="00D2214B" w:rsidP="00481791">
            <w:pPr>
              <w:jc w:val="center"/>
              <w:rPr>
                <w:caps/>
                <w:color w:val="F8F8F8"/>
              </w:rPr>
            </w:pPr>
            <w:r w:rsidRPr="00D2214B">
              <w:t xml:space="preserve"> </w:t>
            </w:r>
            <w:r w:rsidR="006E602C">
              <w:rPr>
                <w:caps/>
                <w:color w:val="F8F8F8"/>
              </w:rPr>
              <w:t>board of trustees</w:t>
            </w:r>
            <w:r>
              <w:rPr>
                <w:caps/>
                <w:color w:val="F8F8F8"/>
              </w:rPr>
              <w:t xml:space="preserve"> </w:t>
            </w:r>
            <w:r w:rsidR="00A73D89">
              <w:rPr>
                <w:caps/>
                <w:color w:val="F8F8F8"/>
              </w:rPr>
              <w:t>sharnbrook primary</w:t>
            </w:r>
          </w:p>
        </w:tc>
      </w:tr>
      <w:tr w:rsidR="00481791" w14:paraId="372EEBB8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706B3DC" w14:textId="43CBE463" w:rsidR="004C40C7" w:rsidRPr="007F456A" w:rsidRDefault="007F456A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  <w:bCs/>
              </w:rPr>
            </w:pPr>
            <w:r w:rsidRPr="007F456A">
              <w:rPr>
                <w:b/>
                <w:bCs/>
              </w:rPr>
              <w:t>Board &amp; Committee Structure 2024-2025</w:t>
            </w:r>
          </w:p>
        </w:tc>
      </w:tr>
      <w:tr w:rsidR="00481791" w14:paraId="43B85B51" w14:textId="77777777" w:rsidTr="00404057">
        <w:trPr>
          <w:cantSplit/>
          <w:trHeight w:val="19"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96121DE" w14:textId="77777777" w:rsidR="00C22AE4" w:rsidRDefault="00C22AE4" w:rsidP="00186B0C">
            <w:pPr>
              <w:pStyle w:val="7Tablecopybulleted"/>
              <w:numPr>
                <w:ilvl w:val="0"/>
                <w:numId w:val="0"/>
              </w:numPr>
              <w:tabs>
                <w:tab w:val="left" w:pos="1193"/>
                <w:tab w:val="left" w:pos="3180"/>
              </w:tabs>
              <w:rPr>
                <w:b/>
                <w:bCs/>
              </w:rPr>
            </w:pPr>
          </w:p>
          <w:p w14:paraId="3809E9A5" w14:textId="0EBB1416" w:rsidR="00EB3A4C" w:rsidRDefault="00EB3A4C" w:rsidP="00186B0C">
            <w:pPr>
              <w:tabs>
                <w:tab w:val="left" w:pos="1193"/>
                <w:tab w:val="left" w:pos="3180"/>
              </w:tabs>
            </w:pPr>
            <w:r>
              <w:t xml:space="preserve">For the coming academic year (24-25) the Governing Board will </w:t>
            </w:r>
            <w:proofErr w:type="spellStart"/>
            <w:r>
              <w:t>utilise</w:t>
            </w:r>
            <w:proofErr w:type="spellEnd"/>
            <w:r>
              <w:t xml:space="preserve"> the following committees and schedule:</w:t>
            </w:r>
          </w:p>
          <w:p w14:paraId="6F552140" w14:textId="3A97DB1D" w:rsidR="00EB3A4C" w:rsidRDefault="00EB3A4C" w:rsidP="00186B0C">
            <w:pPr>
              <w:tabs>
                <w:tab w:val="left" w:pos="1193"/>
                <w:tab w:val="left" w:pos="3180"/>
              </w:tabs>
            </w:pPr>
            <w:r>
              <w:t xml:space="preserve">               FGB: To meet termly / 3 times a year</w:t>
            </w:r>
          </w:p>
          <w:p w14:paraId="43733407" w14:textId="77777777" w:rsidR="00186B0C" w:rsidRDefault="00186B0C" w:rsidP="00186B0C">
            <w:pPr>
              <w:tabs>
                <w:tab w:val="left" w:pos="1193"/>
                <w:tab w:val="left" w:pos="3180"/>
              </w:tabs>
            </w:pPr>
          </w:p>
          <w:p w14:paraId="2FE98AF0" w14:textId="2CFB658A" w:rsidR="00EB3A4C" w:rsidRDefault="00EB3A4C" w:rsidP="00186B0C">
            <w:pPr>
              <w:tabs>
                <w:tab w:val="left" w:pos="1193"/>
                <w:tab w:val="left" w:pos="3180"/>
              </w:tabs>
            </w:pPr>
            <w:r>
              <w:t xml:space="preserve">               Resources Committee: To meet termly / 3 times a year</w:t>
            </w:r>
          </w:p>
          <w:p w14:paraId="41F15CA6" w14:textId="77777777" w:rsidR="00186B0C" w:rsidRDefault="00EB3A4C" w:rsidP="00186B0C">
            <w:pPr>
              <w:tabs>
                <w:tab w:val="left" w:pos="1193"/>
                <w:tab w:val="left" w:pos="3180"/>
              </w:tabs>
            </w:pPr>
            <w:r>
              <w:t xml:space="preserve">               Curriculum Committee: To meet termly / 3 times a year</w:t>
            </w:r>
          </w:p>
          <w:p w14:paraId="41FBE580" w14:textId="77777777" w:rsidR="005F3350" w:rsidRDefault="005F3350" w:rsidP="00186B0C">
            <w:pPr>
              <w:tabs>
                <w:tab w:val="left" w:pos="1193"/>
                <w:tab w:val="left" w:pos="3180"/>
              </w:tabs>
            </w:pPr>
          </w:p>
          <w:p w14:paraId="387137D7" w14:textId="0A988C84" w:rsidR="00EB3A4C" w:rsidRDefault="00EB3A4C" w:rsidP="00186B0C">
            <w:pPr>
              <w:tabs>
                <w:tab w:val="left" w:pos="1193"/>
                <w:tab w:val="left" w:pos="3180"/>
              </w:tabs>
            </w:pPr>
            <w:r>
              <w:t xml:space="preserve">Curriculum and Resources Committee meetings shall be run concurrently, with meeting time split between 2 agendas </w:t>
            </w:r>
          </w:p>
          <w:p w14:paraId="2E47FD62" w14:textId="77777777" w:rsidR="00186B0C" w:rsidRDefault="00186B0C" w:rsidP="00186B0C">
            <w:pPr>
              <w:tabs>
                <w:tab w:val="left" w:pos="1193"/>
                <w:tab w:val="left" w:pos="3180"/>
              </w:tabs>
            </w:pPr>
          </w:p>
          <w:p w14:paraId="6A77F81D" w14:textId="03CDCE71" w:rsidR="00EB3A4C" w:rsidRDefault="00186B0C" w:rsidP="00186B0C">
            <w:pPr>
              <w:tabs>
                <w:tab w:val="left" w:pos="1193"/>
                <w:tab w:val="left" w:pos="3180"/>
              </w:tabs>
            </w:pPr>
            <w:r>
              <w:t xml:space="preserve">             </w:t>
            </w:r>
            <w:r w:rsidR="00EB3A4C">
              <w:t>Finance Committee: To meet half termly / 6 times a year</w:t>
            </w:r>
          </w:p>
          <w:p w14:paraId="586B7449" w14:textId="77777777" w:rsidR="005F3350" w:rsidRDefault="005F3350" w:rsidP="00186B0C">
            <w:pPr>
              <w:tabs>
                <w:tab w:val="left" w:pos="1193"/>
                <w:tab w:val="left" w:pos="3180"/>
              </w:tabs>
            </w:pPr>
          </w:p>
          <w:p w14:paraId="1776558B" w14:textId="09756D11" w:rsidR="00EB3A4C" w:rsidRDefault="00EB3A4C" w:rsidP="00186B0C">
            <w:pPr>
              <w:tabs>
                <w:tab w:val="left" w:pos="1193"/>
                <w:tab w:val="left" w:pos="3180"/>
              </w:tabs>
            </w:pPr>
            <w:r>
              <w:t>Finance Committee to report back at as part of the following FGB or Resources agenda</w:t>
            </w:r>
          </w:p>
          <w:p w14:paraId="1E15C1CB" w14:textId="01215E2D" w:rsidR="00C22AE4" w:rsidRPr="00C22AE4" w:rsidRDefault="00C22AE4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F456A" w14:paraId="413861D6" w14:textId="77777777" w:rsidTr="00A5064F">
        <w:trPr>
          <w:cantSplit/>
          <w:trHeight w:val="19"/>
        </w:trPr>
        <w:tc>
          <w:tcPr>
            <w:tcW w:w="9628" w:type="dxa"/>
            <w:gridSpan w:val="2"/>
            <w:shd w:val="clear" w:color="auto" w:fill="222A35" w:themeFill="text2" w:themeFillShade="80"/>
            <w:tcMar>
              <w:top w:w="113" w:type="dxa"/>
              <w:bottom w:w="113" w:type="dxa"/>
            </w:tcMar>
          </w:tcPr>
          <w:p w14:paraId="47DE964A" w14:textId="6AAAF9DF" w:rsidR="007F456A" w:rsidRPr="007F456A" w:rsidRDefault="007F456A" w:rsidP="007F456A">
            <w:pPr>
              <w:pStyle w:val="7Tablecopybulleted"/>
              <w:numPr>
                <w:ilvl w:val="0"/>
                <w:numId w:val="0"/>
              </w:numPr>
              <w:tabs>
                <w:tab w:val="left" w:pos="1193"/>
                <w:tab w:val="left" w:pos="3180"/>
              </w:tabs>
              <w:jc w:val="center"/>
              <w:rPr>
                <w:b/>
                <w:bCs/>
              </w:rPr>
            </w:pPr>
            <w:r w:rsidRPr="007F456A">
              <w:rPr>
                <w:b/>
                <w:bCs/>
              </w:rPr>
              <w:t>Terms of Reference for Full Governing Board (FGB)</w:t>
            </w:r>
          </w:p>
        </w:tc>
      </w:tr>
      <w:tr w:rsidR="0082298E" w14:paraId="0F447ED7" w14:textId="77777777" w:rsidTr="0052150F">
        <w:trPr>
          <w:cantSplit/>
          <w:trHeight w:val="2336"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7CE94F4" w14:textId="77777777" w:rsidR="0082298E" w:rsidRDefault="0082298E" w:rsidP="00481791">
            <w:pPr>
              <w:pStyle w:val="Text"/>
              <w:rPr>
                <w:b/>
              </w:rPr>
            </w:pPr>
            <w:r>
              <w:rPr>
                <w:b/>
              </w:rPr>
              <w:t>Purpose:</w:t>
            </w:r>
          </w:p>
          <w:p w14:paraId="47AAB99F" w14:textId="77777777" w:rsidR="004B0426" w:rsidRPr="00DA3FDE" w:rsidRDefault="00992CEA" w:rsidP="00481791">
            <w:pPr>
              <w:pStyle w:val="Text"/>
              <w:rPr>
                <w:bCs/>
              </w:rPr>
            </w:pPr>
            <w:r w:rsidRPr="00DA3FDE">
              <w:rPr>
                <w:bCs/>
              </w:rPr>
              <w:t>The board has accountability and responsibility for the academy trust and assuring itself that there is compliance with regulatory, contractual and statutory requirements.</w:t>
            </w:r>
          </w:p>
          <w:p w14:paraId="7C515653" w14:textId="77777777" w:rsidR="00992CEA" w:rsidRPr="00DA3FDE" w:rsidRDefault="000C09C1" w:rsidP="00481791">
            <w:pPr>
              <w:pStyle w:val="Text"/>
              <w:rPr>
                <w:bCs/>
              </w:rPr>
            </w:pPr>
            <w:r w:rsidRPr="00DA3FDE">
              <w:rPr>
                <w:bCs/>
              </w:rPr>
              <w:t>The board provides:</w:t>
            </w:r>
          </w:p>
          <w:p w14:paraId="3A209BD4" w14:textId="7EE44114" w:rsidR="009A1452" w:rsidRPr="00DA3FDE" w:rsidRDefault="000C09C1" w:rsidP="00481791">
            <w:pPr>
              <w:pStyle w:val="Text"/>
              <w:rPr>
                <w:bCs/>
              </w:rPr>
            </w:pPr>
            <w:r w:rsidRPr="00DA3FDE">
              <w:rPr>
                <w:bCs/>
              </w:rPr>
              <w:t>Strategic leadership of the academy trust</w:t>
            </w:r>
            <w:r w:rsidR="00166C8B" w:rsidRPr="00DA3FDE">
              <w:rPr>
                <w:bCs/>
              </w:rPr>
              <w:t xml:space="preserve">, defining the vision for high quality and </w:t>
            </w:r>
            <w:r w:rsidR="002106CF" w:rsidRPr="00DA3FDE">
              <w:rPr>
                <w:bCs/>
              </w:rPr>
              <w:t>inclusive</w:t>
            </w:r>
            <w:r w:rsidR="00166C8B" w:rsidRPr="00DA3FDE">
              <w:rPr>
                <w:bCs/>
              </w:rPr>
              <w:t xml:space="preserve"> education in line with its charitable objectives. It establishes and fosters the trusts culture and sets and champions </w:t>
            </w:r>
            <w:r w:rsidR="009A1452" w:rsidRPr="00DA3FDE">
              <w:rPr>
                <w:bCs/>
              </w:rPr>
              <w:t>the trust strategy.</w:t>
            </w:r>
          </w:p>
          <w:p w14:paraId="718F9546" w14:textId="77777777" w:rsidR="000C09C1" w:rsidRPr="00DA3FDE" w:rsidRDefault="00670B23" w:rsidP="00481791">
            <w:pPr>
              <w:pStyle w:val="Text"/>
              <w:rPr>
                <w:bCs/>
              </w:rPr>
            </w:pPr>
            <w:r w:rsidRPr="00DA3FDE">
              <w:rPr>
                <w:bCs/>
              </w:rPr>
              <w:t>Accountability and assurance through robust effective oversite of the operations and performance of the academy trust</w:t>
            </w:r>
            <w:r w:rsidR="000915DC" w:rsidRPr="00DA3FDE">
              <w:rPr>
                <w:bCs/>
              </w:rPr>
              <w:t>, including the pro</w:t>
            </w:r>
            <w:r w:rsidR="002106CF" w:rsidRPr="00DA3FDE">
              <w:rPr>
                <w:bCs/>
              </w:rPr>
              <w:t>v</w:t>
            </w:r>
            <w:r w:rsidR="000915DC" w:rsidRPr="00DA3FDE">
              <w:rPr>
                <w:bCs/>
              </w:rPr>
              <w:t>ision of education, pupil welfare, overseeing and ensuring appropriate use of funding</w:t>
            </w:r>
            <w:r w:rsidR="002106CF" w:rsidRPr="00DA3FDE">
              <w:rPr>
                <w:bCs/>
              </w:rPr>
              <w:t>, effective financial performance and keeping the estate safe and well maintained.</w:t>
            </w:r>
            <w:r w:rsidR="009A1452" w:rsidRPr="00DA3FDE">
              <w:rPr>
                <w:bCs/>
              </w:rPr>
              <w:t xml:space="preserve"> </w:t>
            </w:r>
          </w:p>
          <w:p w14:paraId="5C3CAAD9" w14:textId="77777777" w:rsidR="002106CF" w:rsidRPr="00DA3FDE" w:rsidRDefault="00BE098D" w:rsidP="00481791">
            <w:pPr>
              <w:pStyle w:val="Text"/>
              <w:rPr>
                <w:bCs/>
              </w:rPr>
            </w:pPr>
            <w:r w:rsidRPr="00DA3FDE">
              <w:rPr>
                <w:bCs/>
              </w:rPr>
              <w:t xml:space="preserve">Strategic oversite of relationships with stakeholders, involving parents, schools and </w:t>
            </w:r>
            <w:r w:rsidR="00A476A6" w:rsidRPr="00DA3FDE">
              <w:rPr>
                <w:bCs/>
              </w:rPr>
              <w:t>communities</w:t>
            </w:r>
            <w:r w:rsidRPr="00DA3FDE">
              <w:rPr>
                <w:bCs/>
              </w:rPr>
              <w:t xml:space="preserve"> so that </w:t>
            </w:r>
            <w:r w:rsidR="00A476A6" w:rsidRPr="00DA3FDE">
              <w:rPr>
                <w:bCs/>
              </w:rPr>
              <w:t>decision</w:t>
            </w:r>
            <w:r w:rsidRPr="00DA3FDE">
              <w:rPr>
                <w:bCs/>
              </w:rPr>
              <w:t xml:space="preserve"> making </w:t>
            </w:r>
            <w:r w:rsidR="00A476A6" w:rsidRPr="00DA3FDE">
              <w:rPr>
                <w:bCs/>
              </w:rPr>
              <w:t>is supported by meaningful engagement.</w:t>
            </w:r>
          </w:p>
          <w:p w14:paraId="6DD7EA4D" w14:textId="00948537" w:rsidR="00A476A6" w:rsidRPr="003432F5" w:rsidRDefault="00506A0D" w:rsidP="00481791">
            <w:pPr>
              <w:pStyle w:val="Text"/>
            </w:pPr>
            <w:r w:rsidRPr="00540098">
              <w:t>Further detail regarding academy governance can be found in the DfE’s Academy Trust Governance Guide - Guidance - GOV.UK (</w:t>
            </w:r>
            <w:hyperlink r:id="rId8" w:history="1">
              <w:r w:rsidRPr="00A4569E">
                <w:rPr>
                  <w:rStyle w:val="Hyperlink"/>
                </w:rPr>
                <w:t>www.gov.uk</w:t>
              </w:r>
            </w:hyperlink>
            <w:r w:rsidRPr="00540098">
              <w:t>)</w:t>
            </w:r>
          </w:p>
        </w:tc>
      </w:tr>
      <w:tr w:rsidR="00481791" w14:paraId="3F83F4DD" w14:textId="77777777" w:rsidTr="0052150F">
        <w:trPr>
          <w:cantSplit/>
          <w:trHeight w:val="2336"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14CF6CD" w14:textId="77777777" w:rsidR="003D0B7D" w:rsidRDefault="00000000" w:rsidP="00481791">
            <w:pPr>
              <w:pStyle w:val="Text"/>
            </w:pPr>
            <w:r w:rsidRPr="00346D5F">
              <w:rPr>
                <w:b/>
              </w:rPr>
              <w:t>Membership:</w:t>
            </w:r>
            <w:r>
              <w:t xml:space="preserve"> </w:t>
            </w:r>
            <w:r w:rsidR="00A73D89" w:rsidRPr="003D0B7D">
              <w:rPr>
                <w:b/>
              </w:rPr>
              <w:t>G</w:t>
            </w:r>
            <w:r w:rsidRPr="003D0B7D">
              <w:rPr>
                <w:b/>
              </w:rPr>
              <w:t>overnors</w:t>
            </w:r>
            <w:r w:rsidR="0042013E" w:rsidRPr="003D0B7D">
              <w:rPr>
                <w:b/>
              </w:rPr>
              <w:t>/</w:t>
            </w:r>
            <w:r w:rsidR="00A73D89" w:rsidRPr="003D0B7D">
              <w:rPr>
                <w:b/>
              </w:rPr>
              <w:t>T</w:t>
            </w:r>
            <w:r w:rsidR="0042013E" w:rsidRPr="003D0B7D">
              <w:rPr>
                <w:b/>
              </w:rPr>
              <w:t>rust</w:t>
            </w:r>
            <w:r w:rsidR="00A73D89" w:rsidRPr="003D0B7D">
              <w:rPr>
                <w:b/>
              </w:rPr>
              <w:t>ees</w:t>
            </w:r>
            <w:r w:rsidRPr="003D0B7D">
              <w:rPr>
                <w:b/>
              </w:rPr>
              <w:t>.</w:t>
            </w:r>
            <w:r>
              <w:t xml:space="preserve"> </w:t>
            </w:r>
          </w:p>
          <w:p w14:paraId="129412B6" w14:textId="54B9EECF" w:rsidR="004C40C7" w:rsidRDefault="00A73D89" w:rsidP="00481791">
            <w:pPr>
              <w:pStyle w:val="Text"/>
            </w:pPr>
            <w:r>
              <w:t xml:space="preserve">There will be a minimum of 3 Governors. There is no maximum number of Governors. There must be a minimum of 2 parent Governors. There can be a maximum of 3 co-opted Governors. The Headteacher must be a Governor. </w:t>
            </w:r>
            <w:r w:rsidR="003D0B7D">
              <w:t xml:space="preserve">Staff Governors (including HT) must not exceed more than 1/3 of the governing body. </w:t>
            </w:r>
            <w:r>
              <w:t xml:space="preserve">The Secretary of State can appoint a Governor. </w:t>
            </w:r>
            <w:r w:rsidR="003D0B7D">
              <w:t>A Governor cannot resign if it would leave less than 3 Governors. There must be 2/3 of Governors votes to appoint a new Governor.</w:t>
            </w:r>
          </w:p>
          <w:p w14:paraId="559E9340" w14:textId="737E3314" w:rsidR="004C40C7" w:rsidRPr="00186B0C" w:rsidRDefault="003D0B7D" w:rsidP="00186B0C">
            <w:pPr>
              <w:pStyle w:val="Text"/>
            </w:pPr>
            <w:r>
              <w:t xml:space="preserve">All Governors will sit on FGB. No Governors/Trustees are ineligible. </w:t>
            </w:r>
          </w:p>
        </w:tc>
      </w:tr>
      <w:tr w:rsidR="00481791" w14:paraId="35FFB9EA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4558A5E" w14:textId="75FBDB32" w:rsidR="004C40C7" w:rsidRDefault="00000000" w:rsidP="00481791">
            <w:pPr>
              <w:pStyle w:val="Text"/>
            </w:pPr>
            <w:r w:rsidRPr="00346D5F">
              <w:rPr>
                <w:b/>
              </w:rPr>
              <w:t xml:space="preserve">Quorum: </w:t>
            </w:r>
            <w:r w:rsidR="003D0B7D">
              <w:rPr>
                <w:b/>
              </w:rPr>
              <w:t xml:space="preserve">Governors/Trustees </w:t>
            </w:r>
          </w:p>
          <w:p w14:paraId="20AA07F3" w14:textId="032E6A6C" w:rsidR="004C40C7" w:rsidRPr="003D0B7D" w:rsidRDefault="003D0B7D" w:rsidP="003D0B7D">
            <w:pPr>
              <w:pStyle w:val="Text"/>
            </w:pPr>
            <w:r>
              <w:t>A meeting is quorate with 1/3 of the governing body present (or minimum of 3)</w:t>
            </w:r>
          </w:p>
        </w:tc>
      </w:tr>
      <w:tr w:rsidR="00481791" w14:paraId="36590DCE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2CA407B" w14:textId="2E5B216C" w:rsidR="00652191" w:rsidRDefault="00000000" w:rsidP="00481791">
            <w:pPr>
              <w:pStyle w:val="Text"/>
            </w:pPr>
            <w:r w:rsidRPr="00346D5F">
              <w:rPr>
                <w:b/>
              </w:rPr>
              <w:lastRenderedPageBreak/>
              <w:t>Meetings:</w:t>
            </w:r>
            <w:r>
              <w:t xml:space="preserve"> </w:t>
            </w:r>
          </w:p>
          <w:p w14:paraId="41BF9AC7" w14:textId="77777777" w:rsidR="00DA3FDE" w:rsidRDefault="00652191" w:rsidP="00481791">
            <w:pPr>
              <w:pStyle w:val="Text"/>
            </w:pPr>
            <w:r>
              <w:t xml:space="preserve">The committee will meet 3 times a year. </w:t>
            </w:r>
            <w:r w:rsidR="00FB3D1C" w:rsidRPr="00FB3D1C">
              <w:t xml:space="preserve">Additional </w:t>
            </w:r>
            <w:r w:rsidR="00FB3D1C">
              <w:t>FGB</w:t>
            </w:r>
            <w:r w:rsidR="00FB3D1C" w:rsidRPr="00FB3D1C">
              <w:t xml:space="preserve"> meetings will only be called in exceptional circumstances</w:t>
            </w:r>
            <w:r w:rsidR="00195535">
              <w:t xml:space="preserve"> </w:t>
            </w:r>
            <w:r w:rsidR="00821AA3" w:rsidRPr="00736231">
              <w:t>up</w:t>
            </w:r>
            <w:r w:rsidR="00195535" w:rsidRPr="00736231">
              <w:t xml:space="preserve">on agreement of at least 3 </w:t>
            </w:r>
            <w:commentRangeStart w:id="0"/>
            <w:r w:rsidR="00195535" w:rsidRPr="00736231">
              <w:t>governors</w:t>
            </w:r>
            <w:commentRangeEnd w:id="0"/>
            <w:r w:rsidR="00195535" w:rsidRPr="00736231">
              <w:rPr>
                <w:rStyle w:val="CommentReference"/>
                <w:rFonts w:cs="Times New Roman"/>
              </w:rPr>
              <w:commentReference w:id="0"/>
            </w:r>
            <w:r w:rsidR="00FB3D1C" w:rsidRPr="00736231">
              <w:t>.</w:t>
            </w:r>
            <w:r w:rsidR="00FB3D1C" w:rsidRPr="00821AA3">
              <w:t xml:space="preserve"> </w:t>
            </w:r>
            <w:r w:rsidRPr="00821AA3">
              <w:t xml:space="preserve"> </w:t>
            </w:r>
          </w:p>
          <w:p w14:paraId="2E8C082C" w14:textId="38697BD0" w:rsidR="004C40C7" w:rsidRDefault="00000000" w:rsidP="00481791">
            <w:pPr>
              <w:pStyle w:val="Text"/>
            </w:pPr>
            <w:r>
              <w:t>Minutes of the committee’s meetings will be shared with the board</w:t>
            </w:r>
            <w:r w:rsidR="00FB3D1C">
              <w:t>, agreed at the next FGB meeting,</w:t>
            </w:r>
            <w:r>
              <w:t xml:space="preserve"> and made available to the public. </w:t>
            </w:r>
          </w:p>
          <w:p w14:paraId="590D885F" w14:textId="34A81D9A" w:rsidR="004C40C7" w:rsidRDefault="003D0B7D" w:rsidP="003D0B7D">
            <w:pPr>
              <w:pStyle w:val="Text"/>
              <w:rPr>
                <w:iCs/>
              </w:rPr>
            </w:pPr>
            <w:r>
              <w:t xml:space="preserve">A </w:t>
            </w:r>
            <w:r w:rsidR="00DF1B8B">
              <w:t xml:space="preserve">Clerk, </w:t>
            </w:r>
            <w:r>
              <w:t>Chair of Governors (</w:t>
            </w:r>
            <w:proofErr w:type="spellStart"/>
            <w:r>
              <w:t>CoG</w:t>
            </w:r>
            <w:proofErr w:type="spellEnd"/>
            <w:r>
              <w:t>), and Vice Chair of Governors (</w:t>
            </w:r>
            <w:proofErr w:type="spellStart"/>
            <w:r>
              <w:t>VCoG</w:t>
            </w:r>
            <w:proofErr w:type="spellEnd"/>
            <w:r>
              <w:t xml:space="preserve">) will be elected at the first FGB meeting of the academic year. The </w:t>
            </w:r>
            <w:proofErr w:type="spellStart"/>
            <w:r>
              <w:t>CoG</w:t>
            </w:r>
            <w:proofErr w:type="spellEnd"/>
            <w:r>
              <w:t xml:space="preserve"> will chair the FGB meetings. If the </w:t>
            </w:r>
            <w:proofErr w:type="spellStart"/>
            <w:r>
              <w:t>CoG</w:t>
            </w:r>
            <w:proofErr w:type="spellEnd"/>
            <w:r>
              <w:t xml:space="preserve"> is unavailable for the meeting, the </w:t>
            </w:r>
            <w:proofErr w:type="spellStart"/>
            <w:r>
              <w:t>VCoG</w:t>
            </w:r>
            <w:proofErr w:type="spellEnd"/>
            <w:r>
              <w:t xml:space="preserve"> will chair the meeting. If both are unavailable, </w:t>
            </w:r>
            <w:r w:rsidRPr="003D0B7D">
              <w:rPr>
                <w:iCs/>
              </w:rPr>
              <w:t>a temporary chair be elected for the purposes of the meetin</w:t>
            </w:r>
            <w:r>
              <w:rPr>
                <w:iCs/>
              </w:rPr>
              <w:t xml:space="preserve">g. </w:t>
            </w:r>
          </w:p>
          <w:p w14:paraId="73AAD08A" w14:textId="7CEF2F75" w:rsidR="00FB3D1C" w:rsidRPr="00CA00DE" w:rsidRDefault="00FB3D1C" w:rsidP="00FB3D1C">
            <w:pPr>
              <w:pStyle w:val="Text"/>
              <w:rPr>
                <w:iCs/>
                <w:lang w:val="en-GB"/>
              </w:rPr>
            </w:pPr>
            <w:r w:rsidRPr="00CA00DE">
              <w:rPr>
                <w:iCs/>
                <w:lang w:val="en-GB"/>
              </w:rPr>
              <w:t>Agendas and supporting documents will be circulated at least 14 days in advance of a meeting.</w:t>
            </w:r>
          </w:p>
          <w:p w14:paraId="7B0F35F1" w14:textId="7DCF894D" w:rsidR="00FB3D1C" w:rsidRPr="00CA00DE" w:rsidRDefault="00DA3FDE" w:rsidP="00FB3D1C">
            <w:pPr>
              <w:pStyle w:val="Text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</w:t>
            </w:r>
            <w:r w:rsidR="00FB3D1C" w:rsidRPr="00CA00DE">
              <w:rPr>
                <w:iCs/>
                <w:lang w:val="en-GB"/>
              </w:rPr>
              <w:t>he Clerk should be notified of AOB at least 3 days prior to a meeting.</w:t>
            </w:r>
          </w:p>
          <w:p w14:paraId="1195497A" w14:textId="197021DB" w:rsidR="00FB3D1C" w:rsidRPr="00CA00DE" w:rsidRDefault="00FB3D1C" w:rsidP="00FB3D1C">
            <w:pPr>
              <w:pStyle w:val="Text"/>
              <w:rPr>
                <w:iCs/>
                <w:strike/>
                <w:lang w:val="en-GB"/>
              </w:rPr>
            </w:pPr>
            <w:r w:rsidRPr="00CA00DE">
              <w:rPr>
                <w:iCs/>
                <w:lang w:val="en-GB"/>
              </w:rPr>
              <w:t xml:space="preserve">Apologies for non-attendance and the reason should be sent to the Clerk as soon as possible. </w:t>
            </w:r>
          </w:p>
          <w:p w14:paraId="27528636" w14:textId="65A315D0" w:rsidR="00195535" w:rsidRPr="00CA00DE" w:rsidRDefault="00195535" w:rsidP="00DA3FDE">
            <w:pPr>
              <w:pStyle w:val="Text"/>
              <w:rPr>
                <w:iCs/>
                <w:lang w:val="en-GB"/>
              </w:rPr>
            </w:pPr>
            <w:r w:rsidRPr="00CE099F">
              <w:rPr>
                <w:iCs/>
                <w:lang w:val="en-GB"/>
              </w:rPr>
              <w:t>A governor will be considered to have vacated their seat if absent without permission over a period of 6 months</w:t>
            </w:r>
            <w:r w:rsidR="0058177D" w:rsidRPr="00CE099F">
              <w:rPr>
                <w:iCs/>
                <w:lang w:val="en-GB"/>
              </w:rPr>
              <w:t xml:space="preserve">. Furthermore, </w:t>
            </w:r>
            <w:r w:rsidR="0058177D" w:rsidRPr="00CA00DE">
              <w:rPr>
                <w:iCs/>
                <w:lang w:val="en-GB"/>
              </w:rPr>
              <w:t>three consecutive occasions of non-attendance will result in the governor being asked to resign.</w:t>
            </w:r>
          </w:p>
          <w:p w14:paraId="4D22425F" w14:textId="507998A6" w:rsidR="00FB3D1C" w:rsidRPr="00FB3D1C" w:rsidRDefault="00FB3D1C" w:rsidP="003D0B7D">
            <w:pPr>
              <w:pStyle w:val="Text"/>
              <w:rPr>
                <w:iCs/>
                <w:lang w:val="en-GB"/>
              </w:rPr>
            </w:pPr>
            <w:r w:rsidRPr="00CA00DE">
              <w:rPr>
                <w:iCs/>
              </w:rPr>
              <w:t>Governors will be expected to respect the confidential aspects of being a governor and act with due discretion.</w:t>
            </w:r>
          </w:p>
        </w:tc>
      </w:tr>
      <w:tr w:rsidR="00481791" w14:paraId="6A35537A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06DCFA1" w14:textId="6A752859" w:rsidR="00E92182" w:rsidRPr="00CE099F" w:rsidRDefault="00BF34FA" w:rsidP="00CE099F">
            <w:pPr>
              <w:pStyle w:val="Text"/>
              <w:ind w:left="1440" w:hanging="1440"/>
              <w:rPr>
                <w:b/>
              </w:rPr>
            </w:pPr>
            <w:r w:rsidRPr="00506A0D">
              <w:rPr>
                <w:b/>
              </w:rPr>
              <w:t>The Full Governing Board will:</w:t>
            </w:r>
          </w:p>
          <w:p w14:paraId="1DA2C8DC" w14:textId="2CCEA5BF" w:rsidR="00B7418E" w:rsidRDefault="00B7418E" w:rsidP="00BF34FA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Act in accordance with the Purpose as described above.</w:t>
            </w:r>
          </w:p>
          <w:p w14:paraId="2D55A1F3" w14:textId="162772C9" w:rsidR="00BF34FA" w:rsidRDefault="00EE6E20" w:rsidP="00BF34FA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C</w:t>
            </w:r>
            <w:r w:rsidR="00BF34FA" w:rsidRPr="0070541E">
              <w:rPr>
                <w:iCs/>
              </w:rPr>
              <w:t xml:space="preserve">onsider safeguarding and equalities implications when undertaking all committee functions. </w:t>
            </w:r>
          </w:p>
          <w:p w14:paraId="4932B654" w14:textId="67D43C1B" w:rsidR="00BF34FA" w:rsidRDefault="00EE6E20" w:rsidP="00BF34FA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E</w:t>
            </w:r>
            <w:r w:rsidR="00BF34FA" w:rsidRPr="0070541E">
              <w:rPr>
                <w:iCs/>
              </w:rPr>
              <w:t xml:space="preserve">nsure strong governance that enhances the effectiveness of the school. </w:t>
            </w:r>
          </w:p>
          <w:p w14:paraId="39898032" w14:textId="7191384A" w:rsidR="00BF34FA" w:rsidRDefault="00EE6E20" w:rsidP="00BF34FA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E</w:t>
            </w:r>
            <w:r w:rsidR="00BF34FA" w:rsidRPr="0070541E">
              <w:rPr>
                <w:iCs/>
              </w:rPr>
              <w:t>nsure that data will be processed to be in line with the requirements and protection set out in the UK General Data Protection Regulation.</w:t>
            </w:r>
          </w:p>
          <w:p w14:paraId="75FC5FB4" w14:textId="650BEA66" w:rsidR="00C41182" w:rsidRDefault="00C41182" w:rsidP="00C41182">
            <w:pPr>
              <w:pStyle w:val="Text"/>
              <w:numPr>
                <w:ilvl w:val="0"/>
                <w:numId w:val="42"/>
              </w:numPr>
            </w:pPr>
            <w:r w:rsidRPr="00540098">
              <w:t>Declar</w:t>
            </w:r>
            <w:r>
              <w:t>e</w:t>
            </w:r>
            <w:r w:rsidRPr="00540098">
              <w:t xml:space="preserve"> any potential interest and abstain</w:t>
            </w:r>
            <w:r w:rsidR="001A7263">
              <w:t xml:space="preserve"> </w:t>
            </w:r>
            <w:r w:rsidRPr="00540098">
              <w:t>from any vote or decision which may occur</w:t>
            </w:r>
            <w:r>
              <w:t xml:space="preserve"> </w:t>
            </w:r>
            <w:r w:rsidRPr="00540098">
              <w:t>in relation to that interest</w:t>
            </w:r>
            <w:r>
              <w:t>.</w:t>
            </w:r>
          </w:p>
          <w:p w14:paraId="7BD32507" w14:textId="27AE9C1F" w:rsidR="001A7263" w:rsidRPr="00C41182" w:rsidRDefault="00CE099F" w:rsidP="00C41182">
            <w:pPr>
              <w:pStyle w:val="Text"/>
              <w:numPr>
                <w:ilvl w:val="0"/>
                <w:numId w:val="42"/>
              </w:numPr>
            </w:pPr>
            <w:r>
              <w:t>A</w:t>
            </w:r>
            <w:r w:rsidR="001A7263" w:rsidRPr="00540098">
              <w:t>ct in accordance with Education Law,</w:t>
            </w:r>
            <w:r w:rsidR="001A7263">
              <w:t xml:space="preserve"> </w:t>
            </w:r>
            <w:r w:rsidR="001A7263" w:rsidRPr="00540098">
              <w:t>Company Law and Charity Law</w:t>
            </w:r>
            <w:r w:rsidR="001A7263">
              <w:t>.</w:t>
            </w:r>
          </w:p>
          <w:p w14:paraId="02A6DBAC" w14:textId="3577295C" w:rsidR="0052150F" w:rsidRPr="00E92182" w:rsidRDefault="001A7263" w:rsidP="003C6C99">
            <w:pPr>
              <w:pStyle w:val="Text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 xml:space="preserve">Delegate </w:t>
            </w:r>
            <w:r w:rsidR="00506A0D">
              <w:rPr>
                <w:iCs/>
              </w:rPr>
              <w:t xml:space="preserve">as appropriate for effective governance - </w:t>
            </w:r>
            <w:r w:rsidR="00E92182">
              <w:rPr>
                <w:iCs/>
              </w:rPr>
              <w:t>See Scheme of Delegation.</w:t>
            </w:r>
          </w:p>
          <w:p w14:paraId="35CF3BC9" w14:textId="77777777" w:rsidR="0052150F" w:rsidRPr="003C6C99" w:rsidRDefault="0052150F" w:rsidP="003C6C99">
            <w:pPr>
              <w:pStyle w:val="Text"/>
              <w:rPr>
                <w:iCs/>
              </w:rPr>
            </w:pPr>
          </w:p>
        </w:tc>
      </w:tr>
      <w:tr w:rsidR="00102775" w14:paraId="07B789A6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2A6B2E7" w14:textId="67C39FDB" w:rsidR="00102775" w:rsidRDefault="00102775" w:rsidP="00B9379C">
            <w:pPr>
              <w:pStyle w:val="Text"/>
              <w:ind w:left="1440" w:hanging="144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lastRenderedPageBreak/>
              <w:t>FGB Responsibilities</w:t>
            </w:r>
            <w:r w:rsidRPr="004533BE">
              <w:rPr>
                <w:b/>
                <w:highlight w:val="cyan"/>
              </w:rPr>
              <w:t>:</w:t>
            </w:r>
          </w:p>
          <w:p w14:paraId="30274515" w14:textId="113B9B28" w:rsidR="00A93D04" w:rsidRDefault="00042E11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 xml:space="preserve">Formulate </w:t>
            </w:r>
            <w:r w:rsidR="00A93D04">
              <w:rPr>
                <w:bCs/>
              </w:rPr>
              <w:t>strategic direction, objectives and targets for the academic year</w:t>
            </w:r>
            <w:r>
              <w:rPr>
                <w:bCs/>
              </w:rPr>
              <w:t xml:space="preserve"> </w:t>
            </w:r>
          </w:p>
          <w:p w14:paraId="487D638A" w14:textId="27724EE0" w:rsidR="00353D7E" w:rsidRPr="00353D7E" w:rsidRDefault="00A93D04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M</w:t>
            </w:r>
            <w:r w:rsidR="00042E11">
              <w:rPr>
                <w:bCs/>
              </w:rPr>
              <w:t xml:space="preserve">onitor strategic progress of </w:t>
            </w:r>
            <w:r w:rsidR="00353D7E">
              <w:rPr>
                <w:bCs/>
              </w:rPr>
              <w:t>SDP, formulating a</w:t>
            </w:r>
            <w:r w:rsidR="00353D7E" w:rsidRPr="00984DA2">
              <w:rPr>
                <w:iCs/>
              </w:rPr>
              <w:t xml:space="preserve"> plan for</w:t>
            </w:r>
            <w:r w:rsidR="00353D7E">
              <w:rPr>
                <w:iCs/>
              </w:rPr>
              <w:t xml:space="preserve"> </w:t>
            </w:r>
            <w:r w:rsidR="00353D7E" w:rsidRPr="00984DA2">
              <w:rPr>
                <w:iCs/>
              </w:rPr>
              <w:t xml:space="preserve">governor </w:t>
            </w:r>
            <w:r w:rsidR="00353D7E">
              <w:rPr>
                <w:iCs/>
              </w:rPr>
              <w:t xml:space="preserve">monitoring </w:t>
            </w:r>
            <w:r w:rsidR="00353D7E" w:rsidRPr="00984DA2">
              <w:rPr>
                <w:iCs/>
              </w:rPr>
              <w:t>visits to ensure appropriate oversight</w:t>
            </w:r>
          </w:p>
          <w:p w14:paraId="73A29A70" w14:textId="61E71771" w:rsidR="00042E11" w:rsidRDefault="00353D7E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R</w:t>
            </w:r>
            <w:r w:rsidR="00743609">
              <w:rPr>
                <w:bCs/>
              </w:rPr>
              <w:t>eceive / action outcomes of</w:t>
            </w:r>
            <w:r w:rsidR="00042E11">
              <w:rPr>
                <w:bCs/>
              </w:rPr>
              <w:t xml:space="preserve"> relevant monitoring visit</w:t>
            </w:r>
            <w:r>
              <w:rPr>
                <w:bCs/>
              </w:rPr>
              <w:t>s</w:t>
            </w:r>
          </w:p>
          <w:p w14:paraId="4098AA14" w14:textId="14FC8563" w:rsidR="00C47F07" w:rsidRPr="00C47F07" w:rsidRDefault="00C47F07" w:rsidP="00C47F07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Receive and question Head teacher report, holding to account actions in the intervening period</w:t>
            </w:r>
          </w:p>
          <w:p w14:paraId="239C5BA3" w14:textId="3C60BD81" w:rsidR="00C56EB6" w:rsidRPr="00C56EB6" w:rsidRDefault="00C56EB6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 w:rsidRPr="00D025D8">
              <w:rPr>
                <w:bCs/>
              </w:rPr>
              <w:t>Receive and monitor safeguarding, pupil premium and SEND practices at each FGB meeting</w:t>
            </w:r>
            <w:r>
              <w:rPr>
                <w:bCs/>
              </w:rPr>
              <w:t xml:space="preserve"> (Safeguarding update also received by all governors at Resources</w:t>
            </w:r>
            <w:r w:rsidR="001B5BCD">
              <w:rPr>
                <w:bCs/>
              </w:rPr>
              <w:t>/Curriculum</w:t>
            </w:r>
            <w:r>
              <w:rPr>
                <w:bCs/>
              </w:rPr>
              <w:t xml:space="preserve"> Committee)</w:t>
            </w:r>
          </w:p>
          <w:p w14:paraId="553C7A6B" w14:textId="3EA0513A" w:rsidR="00DB6975" w:rsidRDefault="00CB4D85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Ensure rigorous financial oversite, acting</w:t>
            </w:r>
            <w:r w:rsidR="00DB6975">
              <w:rPr>
                <w:bCs/>
              </w:rPr>
              <w:t xml:space="preserve"> on items raised by Finance committee</w:t>
            </w:r>
          </w:p>
          <w:p w14:paraId="1B9B9246" w14:textId="538DDF81" w:rsidR="00C56EB6" w:rsidRPr="00C56EB6" w:rsidRDefault="00C56EB6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Review and approve annual budget and annual accounts</w:t>
            </w:r>
          </w:p>
          <w:p w14:paraId="7B0A53FC" w14:textId="4F645D64" w:rsidR="00C56EB6" w:rsidRPr="00C56EB6" w:rsidRDefault="00C56EB6" w:rsidP="00C56EB6">
            <w:pPr>
              <w:pStyle w:val="7Tablecopybulleted"/>
              <w:numPr>
                <w:ilvl w:val="0"/>
                <w:numId w:val="45"/>
              </w:numPr>
              <w:rPr>
                <w:iCs/>
              </w:rPr>
            </w:pPr>
            <w:r>
              <w:rPr>
                <w:iCs/>
              </w:rPr>
              <w:t>Monitor and evaluate risk register to</w:t>
            </w:r>
            <w:r w:rsidRPr="00984DA2">
              <w:rPr>
                <w:iCs/>
              </w:rPr>
              <w:t xml:space="preserve"> ensure that the school</w:t>
            </w:r>
            <w:r>
              <w:rPr>
                <w:iCs/>
              </w:rPr>
              <w:t xml:space="preserve"> </w:t>
            </w:r>
            <w:r w:rsidRPr="00984DA2">
              <w:rPr>
                <w:iCs/>
              </w:rPr>
              <w:t>acts carefully to mitigate risks</w:t>
            </w:r>
            <w:r>
              <w:rPr>
                <w:iCs/>
              </w:rPr>
              <w:t xml:space="preserve"> and ensure improvement programs are actioned.</w:t>
            </w:r>
          </w:p>
          <w:p w14:paraId="50B165D1" w14:textId="1E24A3D7" w:rsidR="00EA7306" w:rsidRPr="00D025D8" w:rsidRDefault="00C56EB6" w:rsidP="00C56EB6">
            <w:pPr>
              <w:pStyle w:val="7Tablecopybulleted"/>
              <w:numPr>
                <w:ilvl w:val="0"/>
                <w:numId w:val="45"/>
              </w:numPr>
            </w:pPr>
            <w:r>
              <w:t>E</w:t>
            </w:r>
            <w:r w:rsidR="00EA7306" w:rsidRPr="00D025D8">
              <w:t>nsure all statutory reporting requirements are met and required information is published on the school’s website</w:t>
            </w:r>
          </w:p>
          <w:p w14:paraId="409BF232" w14:textId="7E56C769" w:rsidR="00EA7306" w:rsidRPr="00D025D8" w:rsidRDefault="00C56EB6" w:rsidP="00C56EB6">
            <w:pPr>
              <w:pStyle w:val="7Tablecopybulleted"/>
              <w:numPr>
                <w:ilvl w:val="0"/>
                <w:numId w:val="45"/>
              </w:numPr>
            </w:pPr>
            <w:r>
              <w:t>E</w:t>
            </w:r>
            <w:r w:rsidR="00EA7306" w:rsidRPr="00D025D8">
              <w:t>nsure Health &amp; Safety regulations are followed</w:t>
            </w:r>
          </w:p>
          <w:p w14:paraId="1C8FFE21" w14:textId="60994C43" w:rsidR="00BA1216" w:rsidRPr="00BA1216" w:rsidRDefault="00BA1216" w:rsidP="00C56EB6">
            <w:pPr>
              <w:pStyle w:val="Text"/>
              <w:numPr>
                <w:ilvl w:val="0"/>
                <w:numId w:val="45"/>
              </w:numPr>
            </w:pPr>
            <w:r w:rsidRPr="00540098">
              <w:t>Appoint the Headteacher</w:t>
            </w:r>
            <w:r>
              <w:t xml:space="preserve"> and a</w:t>
            </w:r>
            <w:r w:rsidRPr="00540098">
              <w:t>ct as a critical friend to the Headteacher by providing support</w:t>
            </w:r>
            <w:r>
              <w:t xml:space="preserve">, advice, </w:t>
            </w:r>
            <w:r w:rsidRPr="00540098">
              <w:t>challenge</w:t>
            </w:r>
            <w:r>
              <w:t xml:space="preserve">, ask questions and offer constructive criticism if necessary. </w:t>
            </w:r>
          </w:p>
          <w:p w14:paraId="327F456C" w14:textId="437DD764" w:rsidR="00EA7306" w:rsidRDefault="00EA7306" w:rsidP="00C56EB6">
            <w:pPr>
              <w:pStyle w:val="Text"/>
              <w:numPr>
                <w:ilvl w:val="0"/>
                <w:numId w:val="45"/>
              </w:numPr>
              <w:rPr>
                <w:iCs/>
              </w:rPr>
            </w:pPr>
            <w:r>
              <w:rPr>
                <w:iCs/>
              </w:rPr>
              <w:t xml:space="preserve">Regularly review governor training requirements, </w:t>
            </w:r>
            <w:r w:rsidRPr="0058177D">
              <w:rPr>
                <w:iCs/>
                <w:highlight w:val="cyan"/>
              </w:rPr>
              <w:t xml:space="preserve">including annual </w:t>
            </w:r>
            <w:commentRangeStart w:id="1"/>
            <w:r w:rsidRPr="0058177D">
              <w:rPr>
                <w:iCs/>
                <w:highlight w:val="cyan"/>
              </w:rPr>
              <w:t>safeguarding</w:t>
            </w:r>
            <w:commentRangeEnd w:id="1"/>
            <w:r>
              <w:rPr>
                <w:rStyle w:val="CommentReference"/>
                <w:rFonts w:cs="Times New Roman"/>
              </w:rPr>
              <w:commentReference w:id="1"/>
            </w:r>
            <w:r w:rsidR="00B9379C">
              <w:rPr>
                <w:iCs/>
              </w:rPr>
              <w:t xml:space="preserve"> training</w:t>
            </w:r>
            <w:r>
              <w:rPr>
                <w:iCs/>
              </w:rPr>
              <w:t xml:space="preserve">, to ensure governors have appropriate knowledge and skills for effective governance. </w:t>
            </w:r>
          </w:p>
          <w:p w14:paraId="4F5E795F" w14:textId="77777777" w:rsidR="00102775" w:rsidRDefault="00102775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Receive updates on performance management processes</w:t>
            </w:r>
          </w:p>
          <w:p w14:paraId="681F5D0F" w14:textId="443F2799" w:rsidR="00102775" w:rsidRDefault="00102775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 xml:space="preserve">Review and approve policies as listed </w:t>
            </w:r>
            <w:r w:rsidR="0085768B">
              <w:rPr>
                <w:bCs/>
              </w:rPr>
              <w:t>below</w:t>
            </w:r>
          </w:p>
          <w:p w14:paraId="1641FBFE" w14:textId="381C4B81" w:rsidR="00102775" w:rsidRPr="00EF0B75" w:rsidRDefault="00353D7E" w:rsidP="00C56EB6">
            <w:pPr>
              <w:pStyle w:val="Text"/>
              <w:numPr>
                <w:ilvl w:val="0"/>
                <w:numId w:val="45"/>
              </w:numPr>
              <w:rPr>
                <w:bCs/>
              </w:rPr>
            </w:pPr>
            <w:r>
              <w:rPr>
                <w:bCs/>
              </w:rPr>
              <w:t>Facilitate AGM and be accountable to trust Members.</w:t>
            </w:r>
          </w:p>
          <w:p w14:paraId="43B896EA" w14:textId="77777777" w:rsidR="0085768B" w:rsidRDefault="0085768B" w:rsidP="0085768B">
            <w:pPr>
              <w:pStyle w:val="Text"/>
              <w:numPr>
                <w:ilvl w:val="0"/>
                <w:numId w:val="45"/>
              </w:numPr>
              <w:rPr>
                <w:iCs/>
              </w:rPr>
            </w:pPr>
            <w:r w:rsidRPr="00BF34FA">
              <w:rPr>
                <w:iCs/>
              </w:rPr>
              <w:t xml:space="preserve">Agree Terms of Reference </w:t>
            </w:r>
            <w:r>
              <w:rPr>
                <w:iCs/>
              </w:rPr>
              <w:t xml:space="preserve">for FGB and committees </w:t>
            </w:r>
            <w:r w:rsidRPr="00BF34FA">
              <w:rPr>
                <w:iCs/>
              </w:rPr>
              <w:t>annually.</w:t>
            </w:r>
          </w:p>
          <w:p w14:paraId="517B7154" w14:textId="77777777" w:rsidR="00102775" w:rsidRDefault="00102775" w:rsidP="00E92182">
            <w:pPr>
              <w:pStyle w:val="Text"/>
              <w:ind w:left="1440" w:hanging="1440"/>
            </w:pPr>
          </w:p>
        </w:tc>
      </w:tr>
      <w:tr w:rsidR="00506A0D" w14:paraId="30C1B89D" w14:textId="77777777" w:rsidTr="0052150F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2D42E51" w14:textId="77777777" w:rsidR="00506A0D" w:rsidRDefault="00506A0D" w:rsidP="00506A0D">
            <w:pPr>
              <w:pStyle w:val="Text"/>
              <w:ind w:left="1440" w:hanging="1440"/>
              <w:rPr>
                <w:b/>
              </w:rPr>
            </w:pPr>
            <w:r w:rsidRPr="00983702">
              <w:rPr>
                <w:b/>
              </w:rPr>
              <w:lastRenderedPageBreak/>
              <w:t>Policies</w:t>
            </w:r>
            <w:r>
              <w:rPr>
                <w:b/>
              </w:rPr>
              <w:t xml:space="preserve"> and compliance</w:t>
            </w:r>
            <w:r w:rsidRPr="0098370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1018448" w14:textId="08A34CD3" w:rsidR="00506A0D" w:rsidRDefault="00506A0D" w:rsidP="00506A0D">
            <w:pPr>
              <w:pStyle w:val="Text"/>
              <w:ind w:left="1440" w:hanging="1440"/>
            </w:pPr>
            <w:r>
              <w:t>The committee will review and ratify all statutory and other policies deemed appropriate and necessary:</w:t>
            </w:r>
          </w:p>
          <w:p w14:paraId="1AEE3185" w14:textId="2461805C" w:rsidR="00F96744" w:rsidRDefault="007A090F" w:rsidP="00506A0D">
            <w:pPr>
              <w:pStyle w:val="Text"/>
              <w:ind w:left="1440" w:hanging="1440"/>
            </w:pPr>
            <w:r w:rsidRPr="007904E1">
              <w:rPr>
                <w:b/>
                <w:bCs/>
              </w:rPr>
              <w:t>Statutory</w:t>
            </w:r>
            <w:r w:rsidR="00CC1082" w:rsidRPr="007904E1">
              <w:rPr>
                <w:b/>
                <w:bCs/>
              </w:rPr>
              <w:t xml:space="preserve"> policies</w:t>
            </w:r>
            <w:r w:rsidR="00CC1082">
              <w:t xml:space="preserve"> (as detailed </w:t>
            </w:r>
            <w:hyperlink r:id="rId13" w:history="1">
              <w:r w:rsidRPr="007A090F">
                <w:rPr>
                  <w:rStyle w:val="Hyperlink"/>
                </w:rPr>
                <w:t>Academy trust governance guide - Statutory policies for trusts - Guidance - GOV.UK (www.gov.uk)</w:t>
              </w:r>
            </w:hyperlink>
            <w:r>
              <w:t>)</w:t>
            </w:r>
          </w:p>
          <w:p w14:paraId="36C79D9B" w14:textId="77777777" w:rsidR="00F96744" w:rsidRPr="00F96744" w:rsidRDefault="00F96744" w:rsidP="00F96744">
            <w:pPr>
              <w:pStyle w:val="Text"/>
              <w:rPr>
                <w:lang w:val="en-GB"/>
              </w:rPr>
            </w:pPr>
            <w:r w:rsidRPr="00F96744">
              <w:rPr>
                <w:lang w:val="en-GB"/>
              </w:rPr>
              <w:t>Trust boards </w:t>
            </w:r>
            <w:r w:rsidRPr="00F96744">
              <w:rPr>
                <w:b/>
                <w:bCs/>
                <w:lang w:val="en-GB"/>
              </w:rPr>
              <w:t>must</w:t>
            </w:r>
            <w:r w:rsidRPr="00F96744">
              <w:rPr>
                <w:lang w:val="en-GB"/>
              </w:rPr>
              <w:t> have policies on:</w:t>
            </w:r>
          </w:p>
          <w:p w14:paraId="22F6155B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admissions arrangements – </w:t>
            </w:r>
            <w:hyperlink r:id="rId14" w:history="1">
              <w:r w:rsidRPr="00F96744">
                <w:rPr>
                  <w:rStyle w:val="Hyperlink"/>
                  <w:lang w:val="en-GB"/>
                </w:rPr>
                <w:t>school admissions code</w:t>
              </w:r>
            </w:hyperlink>
          </w:p>
          <w:p w14:paraId="559E19ED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behaviour – </w:t>
            </w:r>
            <w:hyperlink r:id="rId15" w:history="1">
              <w:r w:rsidRPr="00F96744">
                <w:rPr>
                  <w:rStyle w:val="Hyperlink"/>
                  <w:lang w:val="en-GB"/>
                </w:rPr>
                <w:t>keeping children safe in education</w:t>
              </w:r>
            </w:hyperlink>
            <w:r w:rsidRPr="00F96744">
              <w:rPr>
                <w:lang w:val="en-GB"/>
              </w:rPr>
              <w:t>, </w:t>
            </w:r>
            <w:hyperlink r:id="rId16" w:history="1">
              <w:r w:rsidRPr="00F96744">
                <w:rPr>
                  <w:rStyle w:val="Hyperlink"/>
                  <w:lang w:val="en-GB"/>
                </w:rPr>
                <w:t>behaviour in schools</w:t>
              </w:r>
            </w:hyperlink>
          </w:p>
          <w:p w14:paraId="2D557915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careers: provider access policy statement (secondary education) – </w:t>
            </w:r>
            <w:hyperlink r:id="rId17" w:history="1">
              <w:r w:rsidRPr="00F96744">
                <w:rPr>
                  <w:rStyle w:val="Hyperlink"/>
                  <w:lang w:val="en-GB"/>
                </w:rPr>
                <w:t>careers statutory guidance</w:t>
              </w:r>
            </w:hyperlink>
          </w:p>
          <w:p w14:paraId="4312E841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charging and remissions – </w:t>
            </w:r>
            <w:hyperlink r:id="rId18" w:history="1">
              <w:r w:rsidRPr="00F96744">
                <w:rPr>
                  <w:rStyle w:val="Hyperlink"/>
                  <w:lang w:val="en-GB"/>
                </w:rPr>
                <w:t>charging for school activities</w:t>
              </w:r>
            </w:hyperlink>
          </w:p>
          <w:p w14:paraId="4764E658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data protection privacy notice – </w:t>
            </w:r>
            <w:hyperlink r:id="rId19" w:history="1">
              <w:r w:rsidRPr="00F96744">
                <w:rPr>
                  <w:rStyle w:val="Hyperlink"/>
                  <w:lang w:val="en-GB"/>
                </w:rPr>
                <w:t>data protection: privacy notice model documents</w:t>
              </w:r>
            </w:hyperlink>
          </w:p>
          <w:p w14:paraId="04E5AAEB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equality objectives – </w:t>
            </w:r>
            <w:hyperlink r:id="rId20" w:history="1">
              <w:r w:rsidRPr="00F96744">
                <w:rPr>
                  <w:rStyle w:val="Hyperlink"/>
                  <w:lang w:val="en-GB"/>
                </w:rPr>
                <w:t>Equality Act 2010: advice for schools</w:t>
              </w:r>
            </w:hyperlink>
          </w:p>
          <w:p w14:paraId="79DAB0E4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health and safety –  </w:t>
            </w:r>
            <w:hyperlink r:id="rId21" w:history="1">
              <w:r w:rsidRPr="00F96744">
                <w:rPr>
                  <w:rStyle w:val="Hyperlink"/>
                  <w:lang w:val="en-GB"/>
                </w:rPr>
                <w:t>health and safety: advice for schools</w:t>
              </w:r>
            </w:hyperlink>
          </w:p>
          <w:p w14:paraId="55C10B85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premises management – </w:t>
            </w:r>
            <w:hyperlink r:id="rId22" w:history="1">
              <w:r w:rsidRPr="00F96744">
                <w:rPr>
                  <w:rStyle w:val="Hyperlink"/>
                  <w:lang w:val="en-GB"/>
                </w:rPr>
                <w:t>good estate management for schools</w:t>
              </w:r>
            </w:hyperlink>
          </w:p>
          <w:p w14:paraId="69E3CE59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relationships and sex education and health education – </w:t>
            </w:r>
            <w:hyperlink r:id="rId23" w:history="1">
              <w:r w:rsidRPr="00F96744">
                <w:rPr>
                  <w:rStyle w:val="Hyperlink"/>
                  <w:lang w:val="en-GB"/>
                </w:rPr>
                <w:t>relationships and sex education (RSE) and health education</w:t>
              </w:r>
            </w:hyperlink>
          </w:p>
          <w:p w14:paraId="63700EC9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safeguarding and child protection – </w:t>
            </w:r>
            <w:hyperlink r:id="rId24" w:history="1">
              <w:r w:rsidRPr="00F96744">
                <w:rPr>
                  <w:rStyle w:val="Hyperlink"/>
                  <w:lang w:val="en-GB"/>
                </w:rPr>
                <w:t>keeping children safe in education</w:t>
              </w:r>
            </w:hyperlink>
          </w:p>
          <w:p w14:paraId="5CF428C8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school attendance – </w:t>
            </w:r>
            <w:hyperlink r:id="rId25" w:history="1">
              <w:r w:rsidRPr="00F96744">
                <w:rPr>
                  <w:rStyle w:val="Hyperlink"/>
                  <w:lang w:val="en-GB"/>
                </w:rPr>
                <w:t>working together to improve school attendance</w:t>
              </w:r>
            </w:hyperlink>
          </w:p>
          <w:p w14:paraId="1DCD72D9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school complaints – </w:t>
            </w:r>
            <w:hyperlink r:id="rId26" w:history="1">
              <w:r w:rsidRPr="00F96744">
                <w:rPr>
                  <w:rStyle w:val="Hyperlink"/>
                  <w:lang w:val="en-GB"/>
                </w:rPr>
                <w:t>setting up an academies complaints procedure</w:t>
              </w:r>
            </w:hyperlink>
          </w:p>
          <w:p w14:paraId="6DBBC1C6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school exclusions – </w:t>
            </w:r>
            <w:hyperlink r:id="rId27" w:history="1">
              <w:r w:rsidRPr="00F96744">
                <w:rPr>
                  <w:rStyle w:val="Hyperlink"/>
                  <w:lang w:val="en-GB"/>
                </w:rPr>
                <w:t>school suspensions and permanent exclusions</w:t>
              </w:r>
            </w:hyperlink>
          </w:p>
          <w:p w14:paraId="5705CC0E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school uniform – </w:t>
            </w:r>
            <w:hyperlink r:id="rId28" w:anchor="summary" w:history="1">
              <w:r w:rsidRPr="00F96744">
                <w:rPr>
                  <w:rStyle w:val="Hyperlink"/>
                  <w:lang w:val="en-GB"/>
                </w:rPr>
                <w:t>statutory guidance on cost of school uniforms</w:t>
              </w:r>
            </w:hyperlink>
            <w:r w:rsidRPr="00F96744">
              <w:rPr>
                <w:lang w:val="en-GB"/>
              </w:rPr>
              <w:t> and </w:t>
            </w:r>
            <w:hyperlink r:id="rId29" w:history="1">
              <w:r w:rsidRPr="00F96744">
                <w:rPr>
                  <w:rStyle w:val="Hyperlink"/>
                  <w:lang w:val="en-GB"/>
                </w:rPr>
                <w:t>guidance on school uniforms</w:t>
              </w:r>
            </w:hyperlink>
          </w:p>
          <w:p w14:paraId="14720A22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special educational needs and disability – </w:t>
            </w:r>
            <w:hyperlink r:id="rId30" w:history="1">
              <w:r w:rsidRPr="00F96744">
                <w:rPr>
                  <w:rStyle w:val="Hyperlink"/>
                  <w:lang w:val="en-GB"/>
                </w:rPr>
                <w:t>SEND code of practice: 0 to 25 years</w:t>
              </w:r>
            </w:hyperlink>
          </w:p>
          <w:p w14:paraId="75FB740B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staff behaviour and grievance – </w:t>
            </w:r>
            <w:hyperlink r:id="rId31" w:history="1">
              <w:r w:rsidRPr="00F96744">
                <w:rPr>
                  <w:rStyle w:val="Hyperlink"/>
                  <w:lang w:val="en-GB"/>
                </w:rPr>
                <w:t>staffing and employment: advice for schools</w:t>
              </w:r>
            </w:hyperlink>
            <w:r w:rsidRPr="00F96744">
              <w:rPr>
                <w:lang w:val="en-GB"/>
              </w:rPr>
              <w:t> and </w:t>
            </w:r>
            <w:hyperlink r:id="rId32" w:history="1">
              <w:r w:rsidRPr="00F96744">
                <w:rPr>
                  <w:rStyle w:val="Hyperlink"/>
                  <w:lang w:val="en-GB"/>
                </w:rPr>
                <w:t>keeping children safe in education</w:t>
              </w:r>
            </w:hyperlink>
          </w:p>
          <w:p w14:paraId="4A9FC4F4" w14:textId="77777777" w:rsidR="00F96744" w:rsidRPr="00F96744" w:rsidRDefault="00F96744" w:rsidP="00F96744">
            <w:pPr>
              <w:pStyle w:val="Text"/>
              <w:numPr>
                <w:ilvl w:val="0"/>
                <w:numId w:val="46"/>
              </w:numPr>
              <w:rPr>
                <w:lang w:val="en-GB"/>
              </w:rPr>
            </w:pPr>
            <w:r w:rsidRPr="00F96744">
              <w:rPr>
                <w:lang w:val="en-GB"/>
              </w:rPr>
              <w:t>support for pupils with medical conditions – </w:t>
            </w:r>
            <w:hyperlink r:id="rId33" w:history="1">
              <w:r w:rsidRPr="00F96744">
                <w:rPr>
                  <w:rStyle w:val="Hyperlink"/>
                  <w:lang w:val="en-GB"/>
                </w:rPr>
                <w:t>supporting pupils with medical conditions at school</w:t>
              </w:r>
            </w:hyperlink>
          </w:p>
          <w:p w14:paraId="6E53A153" w14:textId="77777777" w:rsidR="00F96744" w:rsidRPr="00F96744" w:rsidRDefault="00F96744" w:rsidP="00F96744">
            <w:pPr>
              <w:pStyle w:val="Text"/>
              <w:rPr>
                <w:b/>
                <w:bCs/>
                <w:lang w:val="en-GB"/>
              </w:rPr>
            </w:pPr>
            <w:r w:rsidRPr="00F96744">
              <w:rPr>
                <w:b/>
                <w:bCs/>
                <w:lang w:val="en-GB"/>
              </w:rPr>
              <w:t>Review process</w:t>
            </w:r>
          </w:p>
          <w:p w14:paraId="1960E172" w14:textId="5C30BC73" w:rsidR="00F96744" w:rsidRPr="00F96744" w:rsidRDefault="00F96744" w:rsidP="00F96744">
            <w:pPr>
              <w:pStyle w:val="Text"/>
              <w:rPr>
                <w:lang w:val="en-GB"/>
              </w:rPr>
            </w:pPr>
            <w:r w:rsidRPr="00F96744">
              <w:rPr>
                <w:lang w:val="en-GB"/>
              </w:rPr>
              <w:t>It is recommended that trust boards should review these policies annually. This is with the exception of the equality objectives policies which can be</w:t>
            </w:r>
            <w:r w:rsidR="004741A0">
              <w:rPr>
                <w:lang w:val="en-GB"/>
              </w:rPr>
              <w:t xml:space="preserve"> </w:t>
            </w:r>
            <w:r w:rsidRPr="00F96744">
              <w:rPr>
                <w:lang w:val="en-GB"/>
              </w:rPr>
              <w:t>reviewed every 4 years.</w:t>
            </w:r>
          </w:p>
          <w:p w14:paraId="6050430C" w14:textId="41C858FF" w:rsidR="00F96744" w:rsidRPr="007A090F" w:rsidRDefault="007A090F" w:rsidP="00F96744">
            <w:pPr>
              <w:pStyle w:val="Text"/>
              <w:rPr>
                <w:b/>
                <w:bCs/>
                <w:lang w:val="en-GB"/>
              </w:rPr>
            </w:pPr>
            <w:r w:rsidRPr="007A090F">
              <w:rPr>
                <w:b/>
                <w:bCs/>
                <w:lang w:val="en-GB"/>
              </w:rPr>
              <w:t>Sharnbrook Primary also has the following policies:</w:t>
            </w:r>
          </w:p>
          <w:p w14:paraId="033203A0" w14:textId="77777777" w:rsidR="00506A0D" w:rsidRDefault="00506A0D" w:rsidP="00102775">
            <w:pPr>
              <w:pStyle w:val="Text"/>
              <w:ind w:left="1440" w:hanging="1440"/>
            </w:pPr>
          </w:p>
        </w:tc>
      </w:tr>
      <w:tr w:rsidR="00481791" w14:paraId="0B9AEBC0" w14:textId="77777777" w:rsidTr="0052150F">
        <w:trPr>
          <w:cantSplit/>
        </w:trPr>
        <w:tc>
          <w:tcPr>
            <w:tcW w:w="4821" w:type="dxa"/>
            <w:shd w:val="clear" w:color="auto" w:fill="auto"/>
            <w:tcMar>
              <w:top w:w="113" w:type="dxa"/>
              <w:bottom w:w="113" w:type="dxa"/>
            </w:tcMar>
          </w:tcPr>
          <w:p w14:paraId="1AD057C6" w14:textId="77777777" w:rsidR="004C40C7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 xml:space="preserve">Approved by the </w:t>
            </w:r>
            <w:r w:rsidRPr="006E602C">
              <w:rPr>
                <w:b/>
                <w:highlight w:val="yellow"/>
              </w:rPr>
              <w:t>governing board</w:t>
            </w:r>
            <w:r w:rsidR="006E602C" w:rsidRPr="006E602C">
              <w:rPr>
                <w:b/>
                <w:highlight w:val="yellow"/>
              </w:rPr>
              <w:t>/board of trustees</w:t>
            </w:r>
            <w:r w:rsidRPr="006E602C">
              <w:rPr>
                <w:b/>
                <w:highlight w:val="yellow"/>
              </w:rPr>
              <w:t xml:space="preserve">: </w:t>
            </w:r>
            <w:r w:rsidRPr="003C6C99">
              <w:rPr>
                <w:i/>
                <w:iCs/>
                <w:highlight w:val="yellow"/>
              </w:rPr>
              <w:t>[</w:t>
            </w:r>
            <w:r w:rsidR="003C6C99" w:rsidRPr="003C6C99">
              <w:rPr>
                <w:i/>
                <w:iCs/>
                <w:highlight w:val="yellow"/>
              </w:rPr>
              <w:t xml:space="preserve">insert </w:t>
            </w:r>
            <w:r w:rsidRPr="003C6C99">
              <w:rPr>
                <w:i/>
                <w:iCs/>
                <w:highlight w:val="yellow"/>
              </w:rPr>
              <w:t>date]</w:t>
            </w:r>
          </w:p>
        </w:tc>
        <w:tc>
          <w:tcPr>
            <w:tcW w:w="4807" w:type="dxa"/>
            <w:shd w:val="clear" w:color="auto" w:fill="auto"/>
          </w:tcPr>
          <w:p w14:paraId="45C40259" w14:textId="77777777" w:rsidR="004C40C7" w:rsidRPr="00481791" w:rsidRDefault="004C40C7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  <w:i/>
              </w:rPr>
            </w:pPr>
          </w:p>
        </w:tc>
      </w:tr>
      <w:tr w:rsidR="00481791" w14:paraId="6EACC2B7" w14:textId="77777777" w:rsidTr="0052150F">
        <w:trPr>
          <w:cantSplit/>
        </w:trPr>
        <w:tc>
          <w:tcPr>
            <w:tcW w:w="4821" w:type="dxa"/>
            <w:shd w:val="clear" w:color="auto" w:fill="auto"/>
            <w:tcMar>
              <w:top w:w="113" w:type="dxa"/>
              <w:bottom w:w="113" w:type="dxa"/>
            </w:tcMar>
          </w:tcPr>
          <w:p w14:paraId="5152C8F1" w14:textId="77777777" w:rsidR="004C40C7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 xml:space="preserve">Adopted by the </w:t>
            </w:r>
            <w:r w:rsidRPr="006E602C">
              <w:rPr>
                <w:b/>
                <w:highlight w:val="yellow"/>
              </w:rPr>
              <w:t>[</w:t>
            </w:r>
            <w:r w:rsidRPr="006E602C">
              <w:rPr>
                <w:b/>
                <w:i/>
                <w:highlight w:val="yellow"/>
              </w:rPr>
              <w:t>committee name</w:t>
            </w:r>
            <w:r w:rsidRPr="006E602C">
              <w:rPr>
                <w:b/>
                <w:highlight w:val="yellow"/>
              </w:rPr>
              <w:t xml:space="preserve">]: </w:t>
            </w:r>
            <w:r w:rsidR="003C6C99" w:rsidRPr="003C6C99">
              <w:rPr>
                <w:i/>
                <w:iCs/>
                <w:highlight w:val="yellow"/>
              </w:rPr>
              <w:t>[insert date]</w:t>
            </w:r>
          </w:p>
        </w:tc>
        <w:tc>
          <w:tcPr>
            <w:tcW w:w="4807" w:type="dxa"/>
            <w:shd w:val="clear" w:color="auto" w:fill="auto"/>
          </w:tcPr>
          <w:p w14:paraId="6FF3951F" w14:textId="77777777" w:rsidR="004C40C7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>Next review date:</w:t>
            </w:r>
            <w:r w:rsidR="003C6C99" w:rsidRPr="003C6C99">
              <w:rPr>
                <w:i/>
                <w:iCs/>
                <w:highlight w:val="yellow"/>
              </w:rPr>
              <w:t xml:space="preserve"> [insert date]</w:t>
            </w:r>
          </w:p>
        </w:tc>
      </w:tr>
    </w:tbl>
    <w:p w14:paraId="74B6DB71" w14:textId="77777777" w:rsidR="004C40C7" w:rsidRDefault="004C40C7" w:rsidP="006E44A2"/>
    <w:sectPr w:rsidR="004C40C7" w:rsidSect="00913D0F">
      <w:headerReference w:type="even" r:id="rId34"/>
      <w:footerReference w:type="default" r:id="rId35"/>
      <w:headerReference w:type="first" r:id="rId36"/>
      <w:footerReference w:type="first" r:id="rId37"/>
      <w:pgSz w:w="11900" w:h="16840"/>
      <w:pgMar w:top="993" w:right="1077" w:bottom="1701" w:left="1077" w:header="737" w:footer="113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tt Swan" w:date="2024-08-29T14:43:00Z" w:initials="MS">
    <w:p w14:paraId="78A13A60" w14:textId="77777777" w:rsidR="00195535" w:rsidRDefault="00195535" w:rsidP="00195535">
      <w:pPr>
        <w:pStyle w:val="CommentText"/>
      </w:pPr>
      <w:r>
        <w:rPr>
          <w:rStyle w:val="CommentReference"/>
        </w:rPr>
        <w:annotationRef/>
      </w:r>
      <w:r>
        <w:t>From AoA</w:t>
      </w:r>
    </w:p>
  </w:comment>
  <w:comment w:id="1" w:author="Matt Swan" w:date="2024-08-29T15:01:00Z" w:initials="MS">
    <w:p w14:paraId="016D8391" w14:textId="77777777" w:rsidR="00EA7306" w:rsidRDefault="00EA7306" w:rsidP="00EA7306">
      <w:pPr>
        <w:pStyle w:val="CommentText"/>
      </w:pPr>
      <w:r>
        <w:rPr>
          <w:rStyle w:val="CommentReference"/>
        </w:rPr>
        <w:annotationRef/>
      </w:r>
      <w:r>
        <w:t>Should explicitly mention safeguarding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A13A60" w15:done="0"/>
  <w15:commentEx w15:paraId="016D83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FE747C" w16cex:dateUtc="2024-08-29T13:43:00Z">
    <w16cex:extLst>
      <w16:ext w16:uri="{CE6994B0-6A32-4C9F-8C6B-6E91EDA988CE}">
        <cr:reactions xmlns:cr="http://schemas.microsoft.com/office/comments/2020/reactions">
          <cr:reaction reactionType="1">
            <cr:reactionInfo dateUtc="2024-08-30T10:09:01Z">
              <cr:user userId="9ebc9ed58329e21b" userProvider="Windows Live" userName="Suzy Oakley"/>
            </cr:reactionInfo>
          </cr:reaction>
        </cr:reactions>
      </w16:ext>
    </w16cex:extLst>
  </w16cex:commentExtensible>
  <w16cex:commentExtensible w16cex:durableId="58FC730B" w16cex:dateUtc="2024-08-29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A13A60" w16cid:durableId="42FE747C"/>
  <w16cid:commentId w16cid:paraId="016D8391" w16cid:durableId="58FC73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E61A5" w14:textId="77777777" w:rsidR="000934E1" w:rsidRDefault="000934E1" w:rsidP="00626EDA">
      <w:r>
        <w:separator/>
      </w:r>
    </w:p>
  </w:endnote>
  <w:endnote w:type="continuationSeparator" w:id="0">
    <w:p w14:paraId="5D46ED86" w14:textId="77777777" w:rsidR="000934E1" w:rsidRDefault="000934E1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1FBA" w14:textId="77777777" w:rsidR="004C40C7" w:rsidRDefault="004C40C7">
    <w:pPr>
      <w:pStyle w:val="Footer"/>
    </w:pPr>
  </w:p>
  <w:tbl>
    <w:tblPr>
      <w:tblW w:w="0" w:type="auto"/>
      <w:tblBorders>
        <w:top w:val="single" w:sz="4" w:space="0" w:color="008FE1"/>
      </w:tblBorders>
      <w:tblLook w:val="04A0" w:firstRow="1" w:lastRow="0" w:firstColumn="1" w:lastColumn="0" w:noHBand="0" w:noVBand="1"/>
    </w:tblPr>
    <w:tblGrid>
      <w:gridCol w:w="4858"/>
      <w:gridCol w:w="4888"/>
    </w:tblGrid>
    <w:tr w:rsidR="004C40C7" w14:paraId="3B28005B" w14:textId="77777777">
      <w:tc>
        <w:tcPr>
          <w:tcW w:w="5040" w:type="dxa"/>
        </w:tcPr>
        <w:p w14:paraId="1FC7F00C" w14:textId="77777777" w:rsidR="004C40C7" w:rsidRDefault="004C40C7"/>
      </w:tc>
      <w:tc>
        <w:tcPr>
          <w:tcW w:w="5040" w:type="dxa"/>
        </w:tcPr>
        <w:p w14:paraId="5450CF27" w14:textId="77777777" w:rsidR="004C40C7" w:rsidRDefault="004C40C7"/>
      </w:tc>
    </w:tr>
    <w:tr w:rsidR="004C40C7" w14:paraId="35529EA6" w14:textId="77777777">
      <w:trPr>
        <w:trHeight w:val="144"/>
      </w:trPr>
      <w:tc>
        <w:tcPr>
          <w:tcW w:w="5040" w:type="dxa"/>
        </w:tcPr>
        <w:p w14:paraId="08A28033" w14:textId="77777777" w:rsidR="004C40C7" w:rsidRDefault="00000000">
          <w:r>
            <w:rPr>
              <w:sz w:val="16"/>
            </w:rPr>
            <w:t>© The Key Support Services Ltd | www.governorhub.com</w:t>
          </w:r>
        </w:p>
      </w:tc>
      <w:tc>
        <w:tcPr>
          <w:tcW w:w="5040" w:type="dxa"/>
        </w:tcPr>
        <w:p w14:paraId="5D1CCF89" w14:textId="77777777" w:rsidR="004C40C7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29E115DF" wp14:editId="3B10CDA6">
                <wp:extent cx="1371600" cy="364503"/>
                <wp:effectExtent l="0" t="0" r="0" b="0"/>
                <wp:docPr id="1784337674" name="Picture 1784337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64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40C7" w14:paraId="6B69FDD1" w14:textId="77777777">
      <w:tc>
        <w:tcPr>
          <w:tcW w:w="5040" w:type="dxa"/>
        </w:tcPr>
        <w:p w14:paraId="3D9D2504" w14:textId="77777777" w:rsidR="004C40C7" w:rsidRDefault="00000000">
          <w:r>
            <w:fldChar w:fldCharType="begin"/>
          </w:r>
          <w:r>
            <w:instrText>PAGE</w:instrText>
          </w:r>
          <w:r>
            <w:fldChar w:fldCharType="separate"/>
          </w:r>
          <w:r w:rsidR="00A73D89">
            <w:rPr>
              <w:noProof/>
            </w:rPr>
            <w:t>1</w:t>
          </w:r>
          <w:r>
            <w:fldChar w:fldCharType="end"/>
          </w:r>
        </w:p>
      </w:tc>
      <w:tc>
        <w:tcPr>
          <w:tcW w:w="5040" w:type="dxa"/>
        </w:tcPr>
        <w:p w14:paraId="50A1D4B5" w14:textId="77777777" w:rsidR="004C40C7" w:rsidRDefault="004C40C7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73B8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6939CE" w:rsidRPr="00177722" w14:paraId="43010283" w14:textId="77777777" w:rsidTr="00B902A8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1F1243CB" w14:textId="77777777" w:rsidR="006939CE" w:rsidRPr="0000634F" w:rsidRDefault="006939CE" w:rsidP="006939CE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00634F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</w:t>
          </w:r>
          <w:r w:rsidR="00033C84">
            <w:rPr>
              <w:color w:val="7C7C7C"/>
              <w:sz w:val="16"/>
              <w:szCs w:val="16"/>
            </w:rPr>
            <w:t xml:space="preserve">The Key </w:t>
          </w:r>
          <w:r w:rsidR="00033C84">
            <w:rPr>
              <w:color w:val="7C7C7C"/>
              <w:sz w:val="16"/>
              <w:szCs w:val="16"/>
              <w:highlight w:val="white"/>
            </w:rPr>
            <w:t>Support</w:t>
          </w:r>
          <w:r w:rsidR="00033C84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033C84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1ABF9698" w14:textId="77777777" w:rsidR="006939CE" w:rsidRPr="00177722" w:rsidRDefault="009E4C24" w:rsidP="006939C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0EAE37A5" wp14:editId="4C995C5A">
                <wp:extent cx="1162800" cy="345600"/>
                <wp:effectExtent l="0" t="0" r="5715" b="0"/>
                <wp:docPr id="2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A2566" w14:textId="77777777" w:rsidR="00874C73" w:rsidRDefault="00874C73" w:rsidP="00B902A8">
    <w:pPr>
      <w:pStyle w:val="Footer"/>
      <w:jc w:val="right"/>
    </w:pPr>
  </w:p>
  <w:p w14:paraId="1E096A50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B902A8">
      <w:rPr>
        <w:b/>
        <w:color w:val="008FE1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522B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6A4031A3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095B" w14:textId="77777777" w:rsidR="000934E1" w:rsidRDefault="000934E1" w:rsidP="00626EDA">
      <w:r>
        <w:separator/>
      </w:r>
    </w:p>
  </w:footnote>
  <w:footnote w:type="continuationSeparator" w:id="0">
    <w:p w14:paraId="3DE3886D" w14:textId="77777777" w:rsidR="000934E1" w:rsidRDefault="000934E1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DA6B" w14:textId="77777777" w:rsidR="00FE3F15" w:rsidRDefault="009E4C24">
    <w:r>
      <w:rPr>
        <w:noProof/>
      </w:rPr>
      <w:drawing>
        <wp:anchor distT="0" distB="0" distL="114300" distR="114300" simplePos="0" relativeHeight="251657216" behindDoc="1" locked="0" layoutInCell="1" allowOverlap="1" wp14:anchorId="091445DE" wp14:editId="69C8FE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EE8F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1EF6" w14:textId="77777777" w:rsidR="00FE3F15" w:rsidRDefault="00FE3F15"/>
  <w:p w14:paraId="6B8DC00C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10.6pt;height:333.6pt;visibility:visible;mso-wrap-style:square" o:bullet="t">
        <v:imagedata r:id="rId1" o:title=""/>
      </v:shape>
    </w:pict>
  </w:numPicBullet>
  <w:numPicBullet w:numPicBulletId="1">
    <w:pict>
      <v:shape id="_x0000_i1055" type="#_x0000_t75" style="width:36pt;height:30.6pt;visibility:visible;mso-wrap-style:square" o:bullet="t">
        <v:imagedata r:id="rId2" o:title=""/>
      </v:shape>
    </w:pict>
  </w:numPicBullet>
  <w:numPicBullet w:numPicBulletId="2">
    <w:pict>
      <v:shape id="_x0000_i1056" type="#_x0000_t75" style="width:30.6pt;height:30.6pt;visibility:visible;mso-wrap-style:square" o:bullet="t">
        <v:imagedata r:id="rId3" o:title=""/>
      </v:shape>
    </w:pict>
  </w:numPicBullet>
  <w:numPicBullet w:numPicBulletId="3">
    <w:pict>
      <v:shape id="_x0000_i1057" type="#_x0000_t75" style="width:210.6pt;height:333.6pt;visibility:visible;mso-wrap-style:square" o:bullet="t">
        <v:imagedata r:id="rId4" o:title=""/>
      </v:shape>
    </w:pict>
  </w:numPicBullet>
  <w:numPicBullet w:numPicBulletId="4">
    <w:pict>
      <v:shape id="_x0000_i1058" type="#_x0000_t75" style="width:210.6pt;height:333.6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F0F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7FEC9D6"/>
    <w:lvl w:ilvl="0" w:tplc="E5A0C48C">
      <w:start w:val="1"/>
      <w:numFmt w:val="bullet"/>
      <w:pStyle w:val="7DOsbullet"/>
      <w:lvlText w:val=""/>
      <w:lvlJc w:val="left"/>
      <w:pPr>
        <w:ind w:left="360" w:hanging="360"/>
      </w:pPr>
      <w:rPr>
        <w:rFonts w:ascii="Wingdings" w:hAnsi="Wingdings" w:hint="default"/>
        <w:color w:val="008FE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ADE0857"/>
    <w:multiLevelType w:val="hybridMultilevel"/>
    <w:tmpl w:val="3C5E3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45E4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662202"/>
    <w:multiLevelType w:val="multilevel"/>
    <w:tmpl w:val="A9E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4A40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7581A"/>
    <w:multiLevelType w:val="hybridMultilevel"/>
    <w:tmpl w:val="A540FF4A"/>
    <w:lvl w:ilvl="0" w:tplc="F0A6976C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71358"/>
    <w:multiLevelType w:val="hybridMultilevel"/>
    <w:tmpl w:val="03DE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93CB6"/>
    <w:multiLevelType w:val="hybridMultilevel"/>
    <w:tmpl w:val="47027A98"/>
    <w:lvl w:ilvl="0" w:tplc="0CCA1C62">
      <w:start w:val="1"/>
      <w:numFmt w:val="bullet"/>
      <w:pStyle w:val="8DONTsbullet"/>
      <w:lvlText w:val="×"/>
      <w:lvlJc w:val="left"/>
      <w:pPr>
        <w:ind w:left="360" w:hanging="360"/>
      </w:pPr>
      <w:rPr>
        <w:rFonts w:ascii="Amasis MT Pro Black" w:hAnsi="Amasis MT Pro Black" w:hint="default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00175"/>
    <w:multiLevelType w:val="hybridMultilevel"/>
    <w:tmpl w:val="C8C83692"/>
    <w:lvl w:ilvl="0" w:tplc="51A249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067"/>
    <w:multiLevelType w:val="hybridMultilevel"/>
    <w:tmpl w:val="E3363E8A"/>
    <w:lvl w:ilvl="0" w:tplc="4C1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A1EA8"/>
    <w:multiLevelType w:val="hybridMultilevel"/>
    <w:tmpl w:val="9D6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3111">
    <w:abstractNumId w:val="26"/>
  </w:num>
  <w:num w:numId="2" w16cid:durableId="902062599">
    <w:abstractNumId w:val="18"/>
  </w:num>
  <w:num w:numId="3" w16cid:durableId="1956329031">
    <w:abstractNumId w:val="9"/>
  </w:num>
  <w:num w:numId="4" w16cid:durableId="198013762">
    <w:abstractNumId w:val="7"/>
  </w:num>
  <w:num w:numId="5" w16cid:durableId="121652597">
    <w:abstractNumId w:val="6"/>
  </w:num>
  <w:num w:numId="6" w16cid:durableId="1398017114">
    <w:abstractNumId w:val="5"/>
  </w:num>
  <w:num w:numId="7" w16cid:durableId="127019921">
    <w:abstractNumId w:val="4"/>
  </w:num>
  <w:num w:numId="8" w16cid:durableId="403190585">
    <w:abstractNumId w:val="8"/>
  </w:num>
  <w:num w:numId="9" w16cid:durableId="1494564192">
    <w:abstractNumId w:val="3"/>
  </w:num>
  <w:num w:numId="10" w16cid:durableId="1189173303">
    <w:abstractNumId w:val="2"/>
  </w:num>
  <w:num w:numId="11" w16cid:durableId="204416240">
    <w:abstractNumId w:val="1"/>
  </w:num>
  <w:num w:numId="12" w16cid:durableId="1075588844">
    <w:abstractNumId w:val="0"/>
  </w:num>
  <w:num w:numId="13" w16cid:durableId="1399282147">
    <w:abstractNumId w:val="16"/>
  </w:num>
  <w:num w:numId="14" w16cid:durableId="572663744">
    <w:abstractNumId w:val="32"/>
  </w:num>
  <w:num w:numId="15" w16cid:durableId="763693314">
    <w:abstractNumId w:val="11"/>
  </w:num>
  <w:num w:numId="16" w16cid:durableId="1045832218">
    <w:abstractNumId w:val="27"/>
  </w:num>
  <w:num w:numId="17" w16cid:durableId="45036643">
    <w:abstractNumId w:val="33"/>
  </w:num>
  <w:num w:numId="18" w16cid:durableId="1908372103">
    <w:abstractNumId w:val="20"/>
  </w:num>
  <w:num w:numId="19" w16cid:durableId="17629750">
    <w:abstractNumId w:val="23"/>
  </w:num>
  <w:num w:numId="20" w16cid:durableId="2133597030">
    <w:abstractNumId w:val="21"/>
  </w:num>
  <w:num w:numId="21" w16cid:durableId="1579556601">
    <w:abstractNumId w:val="28"/>
  </w:num>
  <w:num w:numId="22" w16cid:durableId="2098206075">
    <w:abstractNumId w:val="19"/>
  </w:num>
  <w:num w:numId="23" w16cid:durableId="1233470379">
    <w:abstractNumId w:val="12"/>
  </w:num>
  <w:num w:numId="24" w16cid:durableId="1042167097">
    <w:abstractNumId w:val="29"/>
  </w:num>
  <w:num w:numId="25" w16cid:durableId="2018926639">
    <w:abstractNumId w:val="38"/>
  </w:num>
  <w:num w:numId="26" w16cid:durableId="945428498">
    <w:abstractNumId w:val="25"/>
  </w:num>
  <w:num w:numId="27" w16cid:durableId="383912632">
    <w:abstractNumId w:val="34"/>
  </w:num>
  <w:num w:numId="28" w16cid:durableId="1984695447">
    <w:abstractNumId w:val="37"/>
  </w:num>
  <w:num w:numId="29" w16cid:durableId="527528201">
    <w:abstractNumId w:val="24"/>
  </w:num>
  <w:num w:numId="30" w16cid:durableId="698623624">
    <w:abstractNumId w:val="21"/>
  </w:num>
  <w:num w:numId="31" w16cid:durableId="2078697924">
    <w:abstractNumId w:val="28"/>
  </w:num>
  <w:num w:numId="32" w16cid:durableId="1334066110">
    <w:abstractNumId w:val="21"/>
  </w:num>
  <w:num w:numId="33" w16cid:durableId="851340829">
    <w:abstractNumId w:val="28"/>
  </w:num>
  <w:num w:numId="34" w16cid:durableId="190723842">
    <w:abstractNumId w:val="11"/>
  </w:num>
  <w:num w:numId="35" w16cid:durableId="410201360">
    <w:abstractNumId w:val="27"/>
  </w:num>
  <w:num w:numId="36" w16cid:durableId="1959330413">
    <w:abstractNumId w:val="37"/>
  </w:num>
  <w:num w:numId="37" w16cid:durableId="216088453">
    <w:abstractNumId w:val="17"/>
  </w:num>
  <w:num w:numId="38" w16cid:durableId="349189793">
    <w:abstractNumId w:val="35"/>
  </w:num>
  <w:num w:numId="39" w16cid:durableId="771899314">
    <w:abstractNumId w:val="30"/>
  </w:num>
  <w:num w:numId="40" w16cid:durableId="1150826851">
    <w:abstractNumId w:val="10"/>
  </w:num>
  <w:num w:numId="41" w16cid:durableId="2106805439">
    <w:abstractNumId w:val="14"/>
  </w:num>
  <w:num w:numId="42" w16cid:durableId="1483623172">
    <w:abstractNumId w:val="22"/>
  </w:num>
  <w:num w:numId="43" w16cid:durableId="122815257">
    <w:abstractNumId w:val="13"/>
  </w:num>
  <w:num w:numId="44" w16cid:durableId="1260136871">
    <w:abstractNumId w:val="31"/>
  </w:num>
  <w:num w:numId="45" w16cid:durableId="1697543435">
    <w:abstractNumId w:val="36"/>
  </w:num>
  <w:num w:numId="46" w16cid:durableId="16912220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 Swan">
    <w15:presenceInfo w15:providerId="AD" w15:userId="S::matt.swan@rockwave.xyz::cb9d005e-b273-456e-91d2-04ff1a3c78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B"/>
    <w:rsid w:val="0000634F"/>
    <w:rsid w:val="00015B1A"/>
    <w:rsid w:val="0002254B"/>
    <w:rsid w:val="00026271"/>
    <w:rsid w:val="00026691"/>
    <w:rsid w:val="00033C84"/>
    <w:rsid w:val="00042E11"/>
    <w:rsid w:val="00057F80"/>
    <w:rsid w:val="00063A07"/>
    <w:rsid w:val="000774FF"/>
    <w:rsid w:val="00082050"/>
    <w:rsid w:val="000915DC"/>
    <w:rsid w:val="000934E1"/>
    <w:rsid w:val="000A569F"/>
    <w:rsid w:val="000B77E5"/>
    <w:rsid w:val="000C09C1"/>
    <w:rsid w:val="000E670A"/>
    <w:rsid w:val="000F5932"/>
    <w:rsid w:val="00102775"/>
    <w:rsid w:val="001357C9"/>
    <w:rsid w:val="001367D3"/>
    <w:rsid w:val="00164676"/>
    <w:rsid w:val="00166C8B"/>
    <w:rsid w:val="00167CB2"/>
    <w:rsid w:val="001739BB"/>
    <w:rsid w:val="00186B0C"/>
    <w:rsid w:val="00195535"/>
    <w:rsid w:val="001978C4"/>
    <w:rsid w:val="001A7263"/>
    <w:rsid w:val="001B5BCD"/>
    <w:rsid w:val="001E3CA3"/>
    <w:rsid w:val="001E5D1C"/>
    <w:rsid w:val="002106CF"/>
    <w:rsid w:val="00231165"/>
    <w:rsid w:val="00235450"/>
    <w:rsid w:val="002414AB"/>
    <w:rsid w:val="00275D5E"/>
    <w:rsid w:val="002A13C2"/>
    <w:rsid w:val="002C343F"/>
    <w:rsid w:val="002D247B"/>
    <w:rsid w:val="002D6F30"/>
    <w:rsid w:val="002E16E7"/>
    <w:rsid w:val="0031491C"/>
    <w:rsid w:val="003365A2"/>
    <w:rsid w:val="003367DC"/>
    <w:rsid w:val="003432F5"/>
    <w:rsid w:val="00353D7E"/>
    <w:rsid w:val="0035428E"/>
    <w:rsid w:val="0036557E"/>
    <w:rsid w:val="003816D6"/>
    <w:rsid w:val="0038437A"/>
    <w:rsid w:val="003948F9"/>
    <w:rsid w:val="003C438A"/>
    <w:rsid w:val="003C6C99"/>
    <w:rsid w:val="003D0B7D"/>
    <w:rsid w:val="003D5CC2"/>
    <w:rsid w:val="003F2BD9"/>
    <w:rsid w:val="003F6230"/>
    <w:rsid w:val="00404057"/>
    <w:rsid w:val="004167F2"/>
    <w:rsid w:val="0042013E"/>
    <w:rsid w:val="004533BE"/>
    <w:rsid w:val="0046077F"/>
    <w:rsid w:val="004741A0"/>
    <w:rsid w:val="004944EE"/>
    <w:rsid w:val="004B0426"/>
    <w:rsid w:val="004B3C9A"/>
    <w:rsid w:val="004C40C7"/>
    <w:rsid w:val="00506A0D"/>
    <w:rsid w:val="0052150F"/>
    <w:rsid w:val="00531C8C"/>
    <w:rsid w:val="00540098"/>
    <w:rsid w:val="005429A3"/>
    <w:rsid w:val="00564CD3"/>
    <w:rsid w:val="00573834"/>
    <w:rsid w:val="0058177D"/>
    <w:rsid w:val="00584A10"/>
    <w:rsid w:val="00590890"/>
    <w:rsid w:val="00597ED1"/>
    <w:rsid w:val="005B250A"/>
    <w:rsid w:val="005B4650"/>
    <w:rsid w:val="005B622F"/>
    <w:rsid w:val="005D5CAF"/>
    <w:rsid w:val="005E05F5"/>
    <w:rsid w:val="005F3350"/>
    <w:rsid w:val="00626EDA"/>
    <w:rsid w:val="00632208"/>
    <w:rsid w:val="00652191"/>
    <w:rsid w:val="00670B23"/>
    <w:rsid w:val="0068482B"/>
    <w:rsid w:val="006939CE"/>
    <w:rsid w:val="006B15C2"/>
    <w:rsid w:val="006C3C03"/>
    <w:rsid w:val="006E602C"/>
    <w:rsid w:val="006F3A9D"/>
    <w:rsid w:val="006F569D"/>
    <w:rsid w:val="006F7E8A"/>
    <w:rsid w:val="007070A1"/>
    <w:rsid w:val="00716A87"/>
    <w:rsid w:val="00735B7D"/>
    <w:rsid w:val="00736231"/>
    <w:rsid w:val="00743609"/>
    <w:rsid w:val="00747714"/>
    <w:rsid w:val="00773B19"/>
    <w:rsid w:val="007904E1"/>
    <w:rsid w:val="007A090F"/>
    <w:rsid w:val="007B1580"/>
    <w:rsid w:val="007B7B17"/>
    <w:rsid w:val="007C5AC9"/>
    <w:rsid w:val="007D268D"/>
    <w:rsid w:val="007E217D"/>
    <w:rsid w:val="007F2F4C"/>
    <w:rsid w:val="007F456A"/>
    <w:rsid w:val="00805A94"/>
    <w:rsid w:val="0080784C"/>
    <w:rsid w:val="008116A6"/>
    <w:rsid w:val="00821AA3"/>
    <w:rsid w:val="0082298E"/>
    <w:rsid w:val="00825962"/>
    <w:rsid w:val="00834704"/>
    <w:rsid w:val="00834A1B"/>
    <w:rsid w:val="008472C3"/>
    <w:rsid w:val="00850499"/>
    <w:rsid w:val="0085768B"/>
    <w:rsid w:val="00862411"/>
    <w:rsid w:val="00874C73"/>
    <w:rsid w:val="00880314"/>
    <w:rsid w:val="008941E7"/>
    <w:rsid w:val="008A165E"/>
    <w:rsid w:val="008A53F2"/>
    <w:rsid w:val="008C1253"/>
    <w:rsid w:val="008C2601"/>
    <w:rsid w:val="008F744A"/>
    <w:rsid w:val="00903C64"/>
    <w:rsid w:val="00913D0F"/>
    <w:rsid w:val="00941442"/>
    <w:rsid w:val="00965C0B"/>
    <w:rsid w:val="0098592F"/>
    <w:rsid w:val="00992CEA"/>
    <w:rsid w:val="009A1452"/>
    <w:rsid w:val="009A14F5"/>
    <w:rsid w:val="009A31D8"/>
    <w:rsid w:val="009A448F"/>
    <w:rsid w:val="009A5CA0"/>
    <w:rsid w:val="009C67D4"/>
    <w:rsid w:val="009D3A05"/>
    <w:rsid w:val="009E4C24"/>
    <w:rsid w:val="009F4702"/>
    <w:rsid w:val="009F57FC"/>
    <w:rsid w:val="00A12F6B"/>
    <w:rsid w:val="00A4145C"/>
    <w:rsid w:val="00A476A6"/>
    <w:rsid w:val="00A5064F"/>
    <w:rsid w:val="00A66E28"/>
    <w:rsid w:val="00A7129A"/>
    <w:rsid w:val="00A73D89"/>
    <w:rsid w:val="00A81296"/>
    <w:rsid w:val="00A93D04"/>
    <w:rsid w:val="00AA3A05"/>
    <w:rsid w:val="00AD2C77"/>
    <w:rsid w:val="00B1264D"/>
    <w:rsid w:val="00B46770"/>
    <w:rsid w:val="00B6679E"/>
    <w:rsid w:val="00B7418E"/>
    <w:rsid w:val="00B902A8"/>
    <w:rsid w:val="00B92349"/>
    <w:rsid w:val="00B9379C"/>
    <w:rsid w:val="00B95F60"/>
    <w:rsid w:val="00BA1216"/>
    <w:rsid w:val="00BE098D"/>
    <w:rsid w:val="00BF34FA"/>
    <w:rsid w:val="00BF3E2A"/>
    <w:rsid w:val="00C10291"/>
    <w:rsid w:val="00C22AE4"/>
    <w:rsid w:val="00C41182"/>
    <w:rsid w:val="00C47F07"/>
    <w:rsid w:val="00C51C6A"/>
    <w:rsid w:val="00C52274"/>
    <w:rsid w:val="00C56EB6"/>
    <w:rsid w:val="00C75002"/>
    <w:rsid w:val="00C8257F"/>
    <w:rsid w:val="00C8314B"/>
    <w:rsid w:val="00C91F46"/>
    <w:rsid w:val="00CA00DE"/>
    <w:rsid w:val="00CB4D85"/>
    <w:rsid w:val="00CC1082"/>
    <w:rsid w:val="00CE099F"/>
    <w:rsid w:val="00CF32FD"/>
    <w:rsid w:val="00D025D8"/>
    <w:rsid w:val="00D11C7E"/>
    <w:rsid w:val="00D2214B"/>
    <w:rsid w:val="00D32D17"/>
    <w:rsid w:val="00D508B4"/>
    <w:rsid w:val="00D814CC"/>
    <w:rsid w:val="00D86752"/>
    <w:rsid w:val="00D93971"/>
    <w:rsid w:val="00D95FA0"/>
    <w:rsid w:val="00DA3FDE"/>
    <w:rsid w:val="00DA43DE"/>
    <w:rsid w:val="00DA5725"/>
    <w:rsid w:val="00DA7F11"/>
    <w:rsid w:val="00DB17FD"/>
    <w:rsid w:val="00DB6975"/>
    <w:rsid w:val="00DC28D6"/>
    <w:rsid w:val="00DC5FAC"/>
    <w:rsid w:val="00DE0D6A"/>
    <w:rsid w:val="00DF1B8B"/>
    <w:rsid w:val="00DF66B4"/>
    <w:rsid w:val="00E24ED4"/>
    <w:rsid w:val="00E24FDF"/>
    <w:rsid w:val="00E3210F"/>
    <w:rsid w:val="00E522B2"/>
    <w:rsid w:val="00E57556"/>
    <w:rsid w:val="00E647DF"/>
    <w:rsid w:val="00E9136B"/>
    <w:rsid w:val="00E92182"/>
    <w:rsid w:val="00EA7306"/>
    <w:rsid w:val="00EA7D4D"/>
    <w:rsid w:val="00EB3A4C"/>
    <w:rsid w:val="00ED4A7F"/>
    <w:rsid w:val="00ED511E"/>
    <w:rsid w:val="00EE5508"/>
    <w:rsid w:val="00EE6E20"/>
    <w:rsid w:val="00EF020E"/>
    <w:rsid w:val="00EF0B75"/>
    <w:rsid w:val="00EF22F0"/>
    <w:rsid w:val="00F139E0"/>
    <w:rsid w:val="00F354DC"/>
    <w:rsid w:val="00F4435B"/>
    <w:rsid w:val="00F519DC"/>
    <w:rsid w:val="00F82220"/>
    <w:rsid w:val="00F84584"/>
    <w:rsid w:val="00F87420"/>
    <w:rsid w:val="00F96744"/>
    <w:rsid w:val="00F97695"/>
    <w:rsid w:val="00FB3D1C"/>
    <w:rsid w:val="00FE3F15"/>
    <w:rsid w:val="00FE4FB6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6D0C"/>
  <w15:chartTrackingRefBased/>
  <w15:docId w15:val="{2E2909E7-2B3F-D247-8D65-130C70F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F6B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850499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50499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B902A8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B902A8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5TheKeyheading1">
    <w:name w:val="5 The Key heading 1"/>
    <w:basedOn w:val="Heading1"/>
    <w:next w:val="Normal"/>
    <w:rsid w:val="00850499"/>
  </w:style>
  <w:style w:type="paragraph" w:customStyle="1" w:styleId="TKheadingpink">
    <w:name w:val="TK heading pink"/>
    <w:next w:val="1bodycopy"/>
    <w:rsid w:val="00850499"/>
    <w:pPr>
      <w:suppressAutoHyphens/>
      <w:spacing w:after="480"/>
    </w:pPr>
    <w:rPr>
      <w:rFonts w:eastAsia="MS Mincho"/>
      <w:b/>
      <w:color w:val="008FE1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B902A8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B902A8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0E670A"/>
    <w:pPr>
      <w:numPr>
        <w:numId w:val="33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Kbodycopy">
    <w:name w:val="TK body copy"/>
    <w:basedOn w:val="Normal"/>
    <w:link w:val="TKbodycopyChar"/>
    <w:rsid w:val="003F6230"/>
    <w:pPr>
      <w:spacing w:after="120"/>
      <w:ind w:right="284"/>
    </w:pPr>
  </w:style>
  <w:style w:type="character" w:customStyle="1" w:styleId="TKbodycopyChar">
    <w:name w:val="TK body copy Char"/>
    <w:link w:val="TKbodycopy"/>
    <w:rsid w:val="003F6230"/>
    <w:rPr>
      <w:rFonts w:eastAsia="MS Mincho"/>
      <w:szCs w:val="24"/>
      <w:lang w:val="en-US" w:eastAsia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TKbodycopy"/>
    <w:qFormat/>
    <w:rsid w:val="003F6230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Cs w:val="20"/>
    </w:rPr>
  </w:style>
  <w:style w:type="paragraph" w:customStyle="1" w:styleId="5Abstract">
    <w:name w:val="5 Abstract"/>
    <w:qFormat/>
    <w:rsid w:val="006C3C03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902A8"/>
    <w:pPr>
      <w:spacing w:after="480"/>
    </w:pPr>
  </w:style>
  <w:style w:type="numbering" w:customStyle="1" w:styleId="CurrentList1">
    <w:name w:val="Current List1"/>
    <w:uiPriority w:val="99"/>
    <w:rsid w:val="000E670A"/>
    <w:pPr>
      <w:numPr>
        <w:numId w:val="37"/>
      </w:numPr>
    </w:pPr>
  </w:style>
  <w:style w:type="paragraph" w:customStyle="1" w:styleId="3Bulletedcopyblue">
    <w:name w:val="3 Bulleted copy blue"/>
    <w:basedOn w:val="Text"/>
    <w:rsid w:val="002C343F"/>
    <w:pPr>
      <w:numPr>
        <w:numId w:val="39"/>
      </w:numPr>
    </w:pPr>
  </w:style>
  <w:style w:type="numbering" w:customStyle="1" w:styleId="CurrentList2">
    <w:name w:val="Current List2"/>
    <w:uiPriority w:val="99"/>
    <w:rsid w:val="002C343F"/>
    <w:pPr>
      <w:numPr>
        <w:numId w:val="41"/>
      </w:numPr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40"/>
      </w:numPr>
    </w:p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character" w:styleId="UnresolvedMention">
    <w:name w:val="Unresolved Mention"/>
    <w:basedOn w:val="DefaultParagraphFont"/>
    <w:uiPriority w:val="99"/>
    <w:semiHidden/>
    <w:unhideWhenUsed/>
    <w:rsid w:val="005400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53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535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35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-governance-in-academy-trusts/statutory-policies-for-trusts" TargetMode="External"/><Relationship Id="rId18" Type="http://schemas.openxmlformats.org/officeDocument/2006/relationships/hyperlink" Target="https://www.gov.uk/government/publications/charging-for-school-activities" TargetMode="External"/><Relationship Id="rId26" Type="http://schemas.openxmlformats.org/officeDocument/2006/relationships/hyperlink" Target="https://www.gov.uk/government/publications/setting-up-an-academies-complaints-procedure" TargetMode="External"/><Relationship Id="rId39" Type="http://schemas.microsoft.com/office/2011/relationships/people" Target="people.xml"/><Relationship Id="rId21" Type="http://schemas.openxmlformats.org/officeDocument/2006/relationships/hyperlink" Target="https://www.gov.uk/government/publications/health-and-safety-advice-for-schools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gov.uk/government/publications/careers-guidance-provision-for-young-people-in-schools" TargetMode="External"/><Relationship Id="rId25" Type="http://schemas.openxmlformats.org/officeDocument/2006/relationships/hyperlink" Target="https://www.gov.uk/government/publications/working-together-to-improve-school-attendance" TargetMode="External"/><Relationship Id="rId33" Type="http://schemas.openxmlformats.org/officeDocument/2006/relationships/hyperlink" Target="https://www.gov.uk/government/publications/supporting-pupils-at-school-with-medical-conditions--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behaviour-in-schools--2" TargetMode="External"/><Relationship Id="rId20" Type="http://schemas.openxmlformats.org/officeDocument/2006/relationships/hyperlink" Target="https://www.gov.uk/government/publications/equality-act-2010-advice-for-schools" TargetMode="External"/><Relationship Id="rId29" Type="http://schemas.openxmlformats.org/officeDocument/2006/relationships/hyperlink" Target="https://www.gov.uk/government/publications/school-uniform/school-unifor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www.gov.uk/government/publications/keeping-children-safe-in-education--2" TargetMode="External"/><Relationship Id="rId32" Type="http://schemas.openxmlformats.org/officeDocument/2006/relationships/hyperlink" Target="https://www.gov.uk/government/publications/keeping-children-safe-in-education--2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keeping-children-safe-in-education--2" TargetMode="External"/><Relationship Id="rId23" Type="http://schemas.openxmlformats.org/officeDocument/2006/relationships/hyperlink" Target="https://www.gov.uk/government/publications/relationships-education-relationships-and-sex-education-rse-and-health-education" TargetMode="External"/><Relationship Id="rId28" Type="http://schemas.openxmlformats.org/officeDocument/2006/relationships/hyperlink" Target="https://www.gov.uk/government/publications/cost-of-school-uniforms/cost-of-school-uniforms" TargetMode="External"/><Relationship Id="rId36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hyperlink" Target="https://www.gov.uk/government/publications/data-protection-and-privacy-privacy-notices" TargetMode="External"/><Relationship Id="rId31" Type="http://schemas.openxmlformats.org/officeDocument/2006/relationships/hyperlink" Target="https://www.gov.uk/government/publications/staffing-and-employment-advice-for-schools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gov.uk/government/publications/school-admissions-code--2" TargetMode="External"/><Relationship Id="rId22" Type="http://schemas.openxmlformats.org/officeDocument/2006/relationships/hyperlink" Target="https://www.gov.uk/guidance/good-estate-management-for-schools/the-fundamentals-of-good-estate-management" TargetMode="External"/><Relationship Id="rId27" Type="http://schemas.openxmlformats.org/officeDocument/2006/relationships/hyperlink" Target="https://www.gov.uk/government/publications/school-exclusion" TargetMode="External"/><Relationship Id="rId30" Type="http://schemas.openxmlformats.org/officeDocument/2006/relationships/hyperlink" Target="https://www.gov.uk/government/publications/send-code-of-practice-0-to-25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gov.uk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Palmer%20Heathma\Downloads\GHK-Cheat-Sheet-template-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42871F6-FBBD-481E-AF8F-3AE5A84F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GHK-Cheat-Sheet-template-2023.dot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Susanna Oakley</cp:lastModifiedBy>
  <cp:revision>2</cp:revision>
  <cp:lastPrinted>2018-10-02T14:43:00Z</cp:lastPrinted>
  <dcterms:created xsi:type="dcterms:W3CDTF">2024-12-10T19:36:00Z</dcterms:created>
  <dcterms:modified xsi:type="dcterms:W3CDTF">2024-12-10T19:36:00Z</dcterms:modified>
</cp:coreProperties>
</file>